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方正小标宋简体" w:hAnsi="黑体" w:eastAsia="方正小标宋简体" w:cs="黑体"/>
          <w:sz w:val="36"/>
          <w:szCs w:val="36"/>
          <w:lang w:val="en-US" w:eastAsia="zh-CN"/>
        </w:rPr>
      </w:pPr>
      <w:bookmarkStart w:id="0" w:name="_Hlk71809438"/>
      <w:r>
        <w:rPr>
          <w:rFonts w:hint="eastAsia" w:ascii="方正小标宋简体" w:hAnsi="黑体" w:eastAsia="方正小标宋简体" w:cs="黑体"/>
          <w:sz w:val="36"/>
          <w:szCs w:val="36"/>
          <w:lang w:val="en-US" w:eastAsia="zh-CN"/>
        </w:rPr>
        <w:t>附件</w:t>
      </w:r>
      <w:bookmarkStart w:id="3050" w:name="_GoBack"/>
      <w:bookmarkEnd w:id="3050"/>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黑体" w:hAnsi="黑体" w:eastAsia="黑体" w:cs="黑体"/>
          <w:sz w:val="56"/>
          <w:szCs w:val="56"/>
        </w:rPr>
      </w:pPr>
      <w:r>
        <w:rPr>
          <w:rFonts w:hint="eastAsia" w:ascii="黑体" w:hAnsi="黑体" w:eastAsia="黑体" w:cs="黑体"/>
          <w:sz w:val="56"/>
          <w:szCs w:val="56"/>
        </w:rPr>
        <w:t>上海票据交易所业务指南</w:t>
      </w: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jc w:val="center"/>
        <w:rPr>
          <w:rFonts w:ascii="方正小标宋简体" w:hAnsi="黑体" w:eastAsia="方正小标宋简体" w:cs="黑体"/>
          <w:sz w:val="36"/>
          <w:szCs w:val="36"/>
          <w:lang w:eastAsia="zh-Hans"/>
        </w:rPr>
      </w:pPr>
    </w:p>
    <w:p>
      <w:pPr>
        <w:rPr>
          <w:rFonts w:ascii="方正小标宋简体" w:hAnsi="黑体" w:eastAsia="方正小标宋简体" w:cs="黑体"/>
          <w:sz w:val="36"/>
          <w:szCs w:val="36"/>
          <w:lang w:eastAsia="zh-Hans"/>
        </w:rPr>
      </w:pPr>
    </w:p>
    <w:p>
      <w:pPr>
        <w:jc w:val="center"/>
        <w:rPr>
          <w:rFonts w:ascii="仿宋" w:hAnsi="仿宋" w:eastAsia="仿宋" w:cs="仿宋"/>
          <w:sz w:val="32"/>
          <w:szCs w:val="32"/>
          <w:lang w:eastAsia="zh-Hans"/>
        </w:rPr>
      </w:pPr>
      <w:r>
        <w:rPr>
          <w:rFonts w:hint="eastAsia" w:ascii="仿宋" w:hAnsi="仿宋" w:eastAsia="仿宋" w:cs="仿宋"/>
          <w:sz w:val="32"/>
          <w:szCs w:val="32"/>
          <w:lang w:eastAsia="zh-Hans"/>
        </w:rPr>
        <w:t>202</w:t>
      </w:r>
      <w:r>
        <w:rPr>
          <w:rFonts w:hint="eastAsia" w:ascii="仿宋" w:hAnsi="仿宋" w:eastAsia="仿宋" w:cs="仿宋"/>
          <w:sz w:val="32"/>
          <w:szCs w:val="32"/>
        </w:rPr>
        <w:t>2</w:t>
      </w:r>
      <w:r>
        <w:rPr>
          <w:rFonts w:hint="eastAsia" w:ascii="仿宋" w:hAnsi="仿宋" w:eastAsia="仿宋" w:cs="仿宋"/>
          <w:sz w:val="32"/>
          <w:szCs w:val="32"/>
          <w:lang w:eastAsia="zh-Hans"/>
        </w:rPr>
        <w:t>年</w:t>
      </w:r>
      <w:r>
        <w:rPr>
          <w:rFonts w:hint="eastAsia" w:ascii="仿宋" w:hAnsi="仿宋" w:eastAsia="仿宋" w:cs="仿宋"/>
          <w:sz w:val="32"/>
          <w:szCs w:val="32"/>
          <w:lang w:val="en-US" w:eastAsia="zh-CN"/>
        </w:rPr>
        <w:t>9</w:t>
      </w:r>
      <w:r>
        <w:rPr>
          <w:rFonts w:hint="eastAsia" w:ascii="仿宋" w:hAnsi="仿宋" w:eastAsia="仿宋" w:cs="仿宋"/>
          <w:sz w:val="32"/>
          <w:szCs w:val="32"/>
          <w:lang w:eastAsia="zh-Hans"/>
        </w:rPr>
        <w:t>月</w:t>
      </w:r>
    </w:p>
    <w:p>
      <w:pPr>
        <w:rPr>
          <w:rFonts w:ascii="方正小标宋简体" w:hAnsi="黑体" w:eastAsia="方正小标宋简体" w:cs="黑体"/>
          <w:sz w:val="36"/>
          <w:szCs w:val="36"/>
          <w:lang w:eastAsia="zh-Hans"/>
        </w:rPr>
      </w:pPr>
      <w:r>
        <w:rPr>
          <w:rFonts w:ascii="方正小标宋简体" w:hAnsi="黑体" w:eastAsia="方正小标宋简体" w:cs="黑体"/>
          <w:sz w:val="36"/>
          <w:szCs w:val="36"/>
          <w:lang w:eastAsia="zh-Hans"/>
        </w:rPr>
        <w:br w:type="page"/>
      </w:r>
    </w:p>
    <w:sdt>
      <w:sdtPr>
        <w:rPr>
          <w:rFonts w:asciiTheme="minorHAnsi" w:hAnsiTheme="minorHAnsi" w:eastAsiaTheme="minorEastAsia" w:cstheme="minorBidi"/>
          <w:color w:val="auto"/>
          <w:kern w:val="2"/>
          <w:sz w:val="21"/>
          <w:szCs w:val="24"/>
          <w:lang w:val="zh-CN"/>
        </w:rPr>
        <w:id w:val="1811286296"/>
      </w:sdtPr>
      <w:sdtEndPr>
        <w:rPr>
          <w:rFonts w:asciiTheme="minorHAnsi" w:hAnsiTheme="minorHAnsi" w:eastAsiaTheme="minorEastAsia" w:cstheme="minorBidi"/>
          <w:b/>
          <w:bCs/>
          <w:color w:val="auto"/>
          <w:kern w:val="2"/>
          <w:sz w:val="21"/>
          <w:szCs w:val="24"/>
          <w:lang w:val="zh-CN"/>
        </w:rPr>
      </w:sdtEndPr>
      <w:sdtContent>
        <w:p>
          <w:pPr>
            <w:pStyle w:val="33"/>
            <w:jc w:val="center"/>
          </w:pPr>
        </w:p>
        <w:sdt>
          <w:sdtPr>
            <w:rPr>
              <w:rFonts w:asciiTheme="minorHAnsi" w:hAnsiTheme="minorHAnsi" w:eastAsiaTheme="minorEastAsia" w:cstheme="minorBidi"/>
              <w:color w:val="auto"/>
              <w:kern w:val="2"/>
              <w:sz w:val="21"/>
              <w:szCs w:val="24"/>
              <w:lang w:val="zh-CN"/>
            </w:rPr>
            <w:id w:val="1867482681"/>
          </w:sdtPr>
          <w:sdtEndPr>
            <w:rPr>
              <w:rFonts w:asciiTheme="minorHAnsi" w:hAnsiTheme="minorHAnsi" w:eastAsiaTheme="minorEastAsia" w:cstheme="minorBidi"/>
              <w:b/>
              <w:bCs/>
              <w:color w:val="auto"/>
              <w:kern w:val="2"/>
              <w:sz w:val="21"/>
              <w:szCs w:val="24"/>
              <w:lang w:val="zh-CN"/>
            </w:rPr>
          </w:sdtEndPr>
          <w:sdtContent>
            <w:p>
              <w:pPr>
                <w:pStyle w:val="33"/>
                <w:jc w:val="center"/>
              </w:pPr>
            </w:p>
            <w:p>
              <w:pPr>
                <w:pStyle w:val="13"/>
                <w:tabs>
                  <w:tab w:val="right" w:leader="dot" w:pos="8306"/>
                </w:tabs>
              </w:pPr>
              <w:r>
                <w:fldChar w:fldCharType="begin"/>
              </w:r>
              <w:r>
                <w:instrText xml:space="preserve"> TOC \o "1-3" \h \z \u </w:instrText>
              </w:r>
              <w:r>
                <w:fldChar w:fldCharType="separate"/>
              </w:r>
              <w:r>
                <w:rPr>
                  <w:bCs/>
                  <w:lang w:val="zh-CN"/>
                </w:rPr>
                <w:fldChar w:fldCharType="begin"/>
              </w:r>
              <w:r>
                <w:rPr>
                  <w:bCs/>
                  <w:lang w:val="zh-CN"/>
                </w:rPr>
                <w:instrText xml:space="preserve"> HYPERLINK \l _Toc830810697 </w:instrText>
              </w:r>
              <w:r>
                <w:rPr>
                  <w:bCs/>
                  <w:lang w:val="zh-CN"/>
                </w:rPr>
                <w:fldChar w:fldCharType="separate"/>
              </w:r>
              <w:r>
                <w:rPr>
                  <w:rFonts w:hint="eastAsia" w:ascii="仿宋" w:hAnsi="仿宋" w:eastAsia="仿宋" w:cs="仿宋"/>
                  <w:szCs w:val="40"/>
                </w:rPr>
                <w:t>前 言</w:t>
              </w:r>
              <w:r>
                <w:tab/>
              </w:r>
              <w:r>
                <w:fldChar w:fldCharType="begin"/>
              </w:r>
              <w:r>
                <w:instrText xml:space="preserve"> PAGEREF _Toc830810697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_Toc474683873 </w:instrText>
              </w:r>
              <w:r>
                <w:rPr>
                  <w:bCs/>
                  <w:lang w:val="zh-CN"/>
                </w:rPr>
                <w:fldChar w:fldCharType="separate"/>
              </w:r>
              <w:r>
                <w:rPr>
                  <w:rFonts w:hint="eastAsia" w:ascii="仿宋" w:hAnsi="仿宋" w:eastAsia="仿宋" w:cs="仿宋"/>
                  <w:szCs w:val="40"/>
                </w:rPr>
                <w:t>第一章 业务参与者的</w:t>
              </w:r>
              <w:r>
                <w:rPr>
                  <w:rFonts w:hint="eastAsia" w:ascii="仿宋" w:hAnsi="仿宋" w:eastAsia="仿宋" w:cs="仿宋"/>
                  <w:szCs w:val="40"/>
                  <w:lang w:eastAsia="zh-CN"/>
                </w:rPr>
                <w:t>加入</w:t>
              </w:r>
              <w:r>
                <w:rPr>
                  <w:rFonts w:hint="eastAsia" w:ascii="仿宋" w:hAnsi="仿宋" w:eastAsia="仿宋" w:cs="仿宋"/>
                  <w:szCs w:val="40"/>
                </w:rPr>
                <w:t>、变更、退出</w:t>
              </w:r>
              <w:r>
                <w:tab/>
              </w:r>
              <w:r>
                <w:fldChar w:fldCharType="begin"/>
              </w:r>
              <w:r>
                <w:instrText xml:space="preserve"> PAGEREF _Toc474683873 </w:instrText>
              </w:r>
              <w:r>
                <w:fldChar w:fldCharType="separate"/>
              </w:r>
              <w:r>
                <w:t>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_Toc2134470791 </w:instrText>
              </w:r>
              <w:r>
                <w:rPr>
                  <w:bCs/>
                  <w:lang w:val="zh-CN"/>
                </w:rPr>
                <w:fldChar w:fldCharType="separate"/>
              </w:r>
              <w:r>
                <w:rPr>
                  <w:rFonts w:hint="eastAsia" w:ascii="仿宋" w:hAnsi="仿宋" w:eastAsia="仿宋" w:cs="仿宋"/>
                </w:rPr>
                <w:t>1.1 概述</w:t>
              </w:r>
              <w:r>
                <w:tab/>
              </w:r>
              <w:r>
                <w:fldChar w:fldCharType="begin"/>
              </w:r>
              <w:r>
                <w:instrText xml:space="preserve"> PAGEREF _Toc2134470791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_Toc1133933819 </w:instrText>
              </w:r>
              <w:r>
                <w:rPr>
                  <w:bCs/>
                  <w:lang w:val="zh-CN"/>
                </w:rPr>
                <w:fldChar w:fldCharType="separate"/>
              </w:r>
              <w:r>
                <w:rPr>
                  <w:rFonts w:hint="eastAsia" w:ascii="仿宋" w:hAnsi="仿宋" w:eastAsia="仿宋" w:cs="仿宋"/>
                  <w:bCs/>
                  <w:szCs w:val="32"/>
                  <w:lang w:bidi="ar"/>
                </w:rPr>
                <w:t>1.1</w:t>
              </w:r>
              <w:r>
                <w:rPr>
                  <w:rFonts w:ascii="仿宋" w:hAnsi="仿宋" w:eastAsia="仿宋" w:cs="仿宋"/>
                  <w:bCs/>
                  <w:szCs w:val="32"/>
                  <w:lang w:bidi="ar"/>
                </w:rPr>
                <w:t>.1 业务参与者</w:t>
              </w:r>
              <w:r>
                <w:tab/>
              </w:r>
              <w:r>
                <w:fldChar w:fldCharType="begin"/>
              </w:r>
              <w:r>
                <w:instrText xml:space="preserve"> PAGEREF _Toc1133933819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_Toc673219628 </w:instrText>
              </w:r>
              <w:r>
                <w:rPr>
                  <w:bCs/>
                  <w:lang w:val="zh-CN"/>
                </w:rPr>
                <w:fldChar w:fldCharType="separate"/>
              </w:r>
              <w:r>
                <w:rPr>
                  <w:rFonts w:hint="eastAsia" w:ascii="仿宋" w:hAnsi="仿宋" w:eastAsia="仿宋" w:cs="仿宋"/>
                  <w:bCs/>
                  <w:szCs w:val="32"/>
                  <w:lang w:bidi="ar"/>
                </w:rPr>
                <w:t>1</w:t>
              </w:r>
              <w:r>
                <w:rPr>
                  <w:rFonts w:ascii="仿宋" w:hAnsi="仿宋" w:eastAsia="仿宋" w:cs="仿宋"/>
                  <w:bCs/>
                  <w:szCs w:val="32"/>
                  <w:lang w:bidi="ar"/>
                </w:rPr>
                <w:t>.</w:t>
              </w:r>
              <w:r>
                <w:rPr>
                  <w:rFonts w:hint="eastAsia" w:ascii="仿宋" w:hAnsi="仿宋" w:eastAsia="仿宋" w:cs="仿宋"/>
                  <w:bCs/>
                  <w:szCs w:val="32"/>
                  <w:lang w:bidi="ar"/>
                </w:rPr>
                <w:t>1</w:t>
              </w:r>
              <w:r>
                <w:rPr>
                  <w:rFonts w:ascii="仿宋" w:hAnsi="仿宋" w:eastAsia="仿宋" w:cs="仿宋"/>
                  <w:bCs/>
                  <w:szCs w:val="32"/>
                  <w:lang w:bidi="ar"/>
                </w:rPr>
                <w:t>.</w:t>
              </w:r>
              <w:r>
                <w:rPr>
                  <w:rFonts w:hint="eastAsia" w:ascii="仿宋" w:hAnsi="仿宋" w:eastAsia="仿宋" w:cs="仿宋"/>
                  <w:bCs/>
                  <w:szCs w:val="32"/>
                  <w:lang w:bidi="ar"/>
                </w:rPr>
                <w:t>2</w:t>
              </w:r>
              <w:r>
                <w:rPr>
                  <w:rFonts w:ascii="仿宋" w:hAnsi="仿宋" w:eastAsia="仿宋" w:cs="仿宋"/>
                  <w:bCs/>
                  <w:szCs w:val="32"/>
                  <w:lang w:bidi="ar"/>
                </w:rPr>
                <w:t xml:space="preserve"> 参与者服务机构</w:t>
              </w:r>
              <w:r>
                <w:tab/>
              </w:r>
              <w:r>
                <w:fldChar w:fldCharType="begin"/>
              </w:r>
              <w:r>
                <w:instrText xml:space="preserve"> PAGEREF _Toc673219628 </w:instrText>
              </w:r>
              <w:r>
                <w:fldChar w:fldCharType="separate"/>
              </w:r>
              <w:r>
                <w:t>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_Toc705411651 </w:instrText>
              </w:r>
              <w:r>
                <w:rPr>
                  <w:bCs/>
                  <w:lang w:val="zh-CN"/>
                </w:rPr>
                <w:fldChar w:fldCharType="separate"/>
              </w:r>
              <w:r>
                <w:rPr>
                  <w:rFonts w:hint="eastAsia" w:ascii="仿宋" w:hAnsi="仿宋" w:eastAsia="仿宋" w:cs="仿宋"/>
                </w:rPr>
                <w:t>1.2 直接参与者</w:t>
              </w:r>
              <w:r>
                <w:tab/>
              </w:r>
              <w:r>
                <w:fldChar w:fldCharType="begin"/>
              </w:r>
              <w:r>
                <w:instrText xml:space="preserve"> PAGEREF _Toc705411651 </w:instrText>
              </w:r>
              <w:r>
                <w:fldChar w:fldCharType="separate"/>
              </w:r>
              <w:r>
                <w:t>10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_Toc1611654556 </w:instrText>
              </w:r>
              <w:r>
                <w:rPr>
                  <w:bCs/>
                  <w:lang w:val="zh-CN"/>
                </w:rPr>
                <w:fldChar w:fldCharType="separate"/>
              </w:r>
              <w:r>
                <w:rPr>
                  <w:rFonts w:hint="eastAsia" w:ascii="仿宋" w:hAnsi="仿宋" w:eastAsia="仿宋" w:cs="仿宋"/>
                </w:rPr>
                <w:t xml:space="preserve">1.2.1 </w:t>
              </w:r>
              <w:r>
                <w:rPr>
                  <w:rFonts w:hint="eastAsia" w:ascii="仿宋" w:hAnsi="仿宋" w:eastAsia="仿宋" w:cs="仿宋"/>
                  <w:lang w:eastAsia="zh-CN"/>
                </w:rPr>
                <w:t>加入</w:t>
              </w:r>
              <w:r>
                <w:tab/>
              </w:r>
              <w:r>
                <w:fldChar w:fldCharType="begin"/>
              </w:r>
              <w:r>
                <w:instrText xml:space="preserve"> PAGEREF _Toc1611654556 </w:instrText>
              </w:r>
              <w:r>
                <w:fldChar w:fldCharType="separate"/>
              </w:r>
              <w:r>
                <w:t>10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_Toc1889567385 </w:instrText>
              </w:r>
              <w:r>
                <w:rPr>
                  <w:bCs/>
                  <w:lang w:val="zh-CN"/>
                </w:rPr>
                <w:fldChar w:fldCharType="separate"/>
              </w:r>
              <w:r>
                <w:rPr>
                  <w:rFonts w:hint="eastAsia" w:ascii="仿宋" w:hAnsi="仿宋" w:eastAsia="仿宋" w:cs="仿宋"/>
                </w:rPr>
                <w:t>1.2.2 变更</w:t>
              </w:r>
              <w:r>
                <w:tab/>
              </w:r>
              <w:r>
                <w:fldChar w:fldCharType="begin"/>
              </w:r>
              <w:r>
                <w:instrText xml:space="preserve"> PAGEREF _Toc1889567385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_Toc1395668812 </w:instrText>
              </w:r>
              <w:r>
                <w:rPr>
                  <w:bCs/>
                  <w:lang w:val="zh-CN"/>
                </w:rPr>
                <w:fldChar w:fldCharType="separate"/>
              </w:r>
              <w:r>
                <w:rPr>
                  <w:rFonts w:hint="eastAsia" w:ascii="仿宋" w:hAnsi="仿宋" w:eastAsia="仿宋" w:cs="仿宋"/>
                </w:rPr>
                <w:t>1.2.3 退出</w:t>
              </w:r>
              <w:r>
                <w:tab/>
              </w:r>
              <w:r>
                <w:fldChar w:fldCharType="begin"/>
              </w:r>
              <w:r>
                <w:instrText xml:space="preserve"> PAGEREF _Toc1395668812 </w:instrText>
              </w:r>
              <w:r>
                <w:fldChar w:fldCharType="separate"/>
              </w:r>
              <w:r>
                <w:t>16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_Toc1211881472 </w:instrText>
              </w:r>
              <w:r>
                <w:rPr>
                  <w:bCs/>
                  <w:lang w:val="zh-CN"/>
                </w:rPr>
                <w:fldChar w:fldCharType="separate"/>
              </w:r>
              <w:r>
                <w:rPr>
                  <w:rFonts w:hint="eastAsia" w:ascii="仿宋" w:hAnsi="仿宋" w:eastAsia="仿宋" w:cs="仿宋"/>
                </w:rPr>
                <w:t>1.2.</w:t>
              </w:r>
              <w:r>
                <w:rPr>
                  <w:rFonts w:ascii="仿宋" w:hAnsi="仿宋" w:eastAsia="仿宋" w:cs="仿宋"/>
                </w:rPr>
                <w:t>4</w:t>
              </w:r>
              <w:r>
                <w:rPr>
                  <w:rFonts w:hint="eastAsia" w:ascii="仿宋" w:hAnsi="仿宋" w:eastAsia="仿宋" w:cs="仿宋"/>
                </w:rPr>
                <w:t>申请材料报送方式</w:t>
              </w:r>
              <w:r>
                <w:tab/>
              </w:r>
              <w:r>
                <w:fldChar w:fldCharType="begin"/>
              </w:r>
              <w:r>
                <w:instrText xml:space="preserve"> PAGEREF _Toc1211881472 </w:instrText>
              </w:r>
              <w:r>
                <w:fldChar w:fldCharType="separate"/>
              </w:r>
              <w:r>
                <w:t>17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_Toc297651587 </w:instrText>
              </w:r>
              <w:r>
                <w:rPr>
                  <w:bCs/>
                  <w:lang w:val="zh-CN"/>
                </w:rPr>
                <w:fldChar w:fldCharType="separate"/>
              </w:r>
              <w:r>
                <w:rPr>
                  <w:rFonts w:hint="eastAsia" w:ascii="仿宋" w:hAnsi="仿宋" w:eastAsia="仿宋" w:cs="仿宋"/>
                  <w:szCs w:val="32"/>
                </w:rPr>
                <w:t>1.3间接参与者</w:t>
              </w:r>
              <w:r>
                <w:tab/>
              </w:r>
              <w:r>
                <w:fldChar w:fldCharType="begin"/>
              </w:r>
              <w:r>
                <w:instrText xml:space="preserve"> PAGEREF _Toc297651587 </w:instrText>
              </w:r>
              <w:r>
                <w:fldChar w:fldCharType="separate"/>
              </w:r>
              <w:r>
                <w:t>17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_Toc541564116 </w:instrText>
              </w:r>
              <w:r>
                <w:rPr>
                  <w:bCs/>
                  <w:lang w:val="zh-CN"/>
                </w:rPr>
                <w:fldChar w:fldCharType="separate"/>
              </w:r>
              <w:r>
                <w:rPr>
                  <w:rFonts w:hint="eastAsia" w:ascii="仿宋" w:hAnsi="仿宋" w:eastAsia="仿宋" w:cs="仿宋"/>
                  <w:bCs/>
                  <w:szCs w:val="32"/>
                </w:rPr>
                <w:t xml:space="preserve">1.3.1 </w:t>
              </w:r>
              <w:r>
                <w:rPr>
                  <w:rFonts w:hint="eastAsia" w:ascii="仿宋" w:hAnsi="仿宋" w:eastAsia="仿宋" w:cs="仿宋"/>
                  <w:szCs w:val="32"/>
                </w:rPr>
                <w:t>信息备案</w:t>
              </w:r>
              <w:r>
                <w:tab/>
              </w:r>
              <w:r>
                <w:fldChar w:fldCharType="begin"/>
              </w:r>
              <w:r>
                <w:instrText xml:space="preserve"> PAGEREF _Toc541564116 </w:instrText>
              </w:r>
              <w:r>
                <w:fldChar w:fldCharType="separate"/>
              </w:r>
              <w:r>
                <w:t>17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_Toc475195437 </w:instrText>
              </w:r>
              <w:r>
                <w:rPr>
                  <w:bCs/>
                  <w:lang w:val="zh-CN"/>
                </w:rPr>
                <w:fldChar w:fldCharType="separate"/>
              </w:r>
              <w:r>
                <w:rPr>
                  <w:rFonts w:hint="eastAsia" w:ascii="仿宋" w:hAnsi="仿宋" w:eastAsia="仿宋" w:cs="仿宋"/>
                  <w:bCs/>
                  <w:szCs w:val="32"/>
                </w:rPr>
                <w:t>1.3.</w:t>
              </w:r>
              <w:r>
                <w:rPr>
                  <w:rFonts w:ascii="仿宋" w:hAnsi="仿宋" w:eastAsia="仿宋" w:cs="仿宋"/>
                  <w:bCs/>
                  <w:szCs w:val="32"/>
                </w:rPr>
                <w:t xml:space="preserve">2 </w:t>
              </w:r>
              <w:r>
                <w:rPr>
                  <w:rFonts w:hint="eastAsia" w:ascii="仿宋" w:hAnsi="仿宋" w:eastAsia="仿宋" w:cs="仿宋"/>
                  <w:bCs/>
                  <w:szCs w:val="32"/>
                  <w:lang w:eastAsia="zh-Hans"/>
                </w:rPr>
                <w:t>票据</w:t>
              </w:r>
              <w:r>
                <w:rPr>
                  <w:rFonts w:hint="eastAsia" w:ascii="仿宋" w:hAnsi="仿宋" w:eastAsia="仿宋" w:cs="仿宋"/>
                  <w:bCs/>
                  <w:szCs w:val="32"/>
                </w:rPr>
                <w:t>账户主动管理</w:t>
              </w:r>
              <w:r>
                <w:tab/>
              </w:r>
              <w:r>
                <w:fldChar w:fldCharType="begin"/>
              </w:r>
              <w:r>
                <w:instrText xml:space="preserve"> PAGEREF _Toc475195437 </w:instrText>
              </w:r>
              <w:r>
                <w:fldChar w:fldCharType="separate"/>
              </w:r>
              <w:r>
                <w:t>22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_Toc1306782229 </w:instrText>
              </w:r>
              <w:r>
                <w:rPr>
                  <w:bCs/>
                  <w:lang w:val="zh-CN"/>
                </w:rPr>
                <w:fldChar w:fldCharType="separate"/>
              </w:r>
              <w:r>
                <w:rPr>
                  <w:rFonts w:hint="eastAsia" w:ascii="仿宋" w:hAnsi="仿宋" w:eastAsia="仿宋" w:cs="仿宋"/>
                </w:rPr>
                <w:t>1.4 参与者服务机构</w:t>
              </w:r>
              <w:r>
                <w:tab/>
              </w:r>
              <w:r>
                <w:fldChar w:fldCharType="begin"/>
              </w:r>
              <w:r>
                <w:instrText xml:space="preserve"> PAGEREF _Toc1306782229 </w:instrText>
              </w:r>
              <w:r>
                <w:fldChar w:fldCharType="separate"/>
              </w:r>
              <w:r>
                <w:t>30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_Toc1583093249 </w:instrText>
              </w:r>
              <w:r>
                <w:rPr>
                  <w:bCs/>
                  <w:lang w:val="zh-CN"/>
                </w:rPr>
                <w:fldChar w:fldCharType="separate"/>
              </w:r>
              <w:r>
                <w:rPr>
                  <w:rFonts w:hint="eastAsia" w:ascii="仿宋" w:hAnsi="仿宋" w:eastAsia="仿宋" w:cs="仿宋"/>
                </w:rPr>
                <w:t>1.4.1供应链平台</w:t>
              </w:r>
              <w:r>
                <w:tab/>
              </w:r>
              <w:r>
                <w:fldChar w:fldCharType="begin"/>
              </w:r>
              <w:r>
                <w:instrText xml:space="preserve"> PAGEREF _Toc1583093249 </w:instrText>
              </w:r>
              <w:r>
                <w:fldChar w:fldCharType="separate"/>
              </w:r>
              <w:r>
                <w:t>30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_Toc118803974 </w:instrText>
              </w:r>
              <w:r>
                <w:rPr>
                  <w:bCs/>
                  <w:lang w:val="zh-CN"/>
                </w:rPr>
                <w:fldChar w:fldCharType="separate"/>
              </w:r>
              <w:r>
                <w:rPr>
                  <w:rFonts w:hint="eastAsia" w:ascii="仿宋" w:hAnsi="仿宋" w:eastAsia="仿宋" w:cs="仿宋"/>
                  <w:bCs/>
                  <w:szCs w:val="32"/>
                </w:rPr>
                <w:t>1.4.2“票付通”业务的参与机构</w:t>
              </w:r>
              <w:r>
                <w:tab/>
              </w:r>
              <w:r>
                <w:fldChar w:fldCharType="begin"/>
              </w:r>
              <w:r>
                <w:instrText xml:space="preserve"> PAGEREF _Toc118803974 </w:instrText>
              </w:r>
              <w:r>
                <w:fldChar w:fldCharType="separate"/>
              </w:r>
              <w:r>
                <w:t>35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_Toc2042067408 </w:instrText>
              </w:r>
              <w:r>
                <w:rPr>
                  <w:bCs/>
                  <w:lang w:val="zh-CN"/>
                </w:rPr>
                <w:fldChar w:fldCharType="separate"/>
              </w:r>
              <w:r>
                <w:rPr>
                  <w:rFonts w:hint="eastAsia" w:ascii="仿宋" w:hAnsi="仿宋" w:eastAsia="仿宋" w:cs="仿宋"/>
                  <w:bCs/>
                  <w:szCs w:val="32"/>
                </w:rPr>
                <w:t>1.5 业务参与者的账户</w:t>
              </w:r>
              <w:r>
                <w:tab/>
              </w:r>
              <w:r>
                <w:fldChar w:fldCharType="begin"/>
              </w:r>
              <w:r>
                <w:instrText xml:space="preserve"> PAGEREF _Toc2042067408 </w:instrText>
              </w:r>
              <w:r>
                <w:fldChar w:fldCharType="separate"/>
              </w:r>
              <w:r>
                <w:t>40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_Toc466414610 </w:instrText>
              </w:r>
              <w:r>
                <w:rPr>
                  <w:bCs/>
                  <w:lang w:val="zh-CN"/>
                </w:rPr>
                <w:fldChar w:fldCharType="separate"/>
              </w:r>
              <w:r>
                <w:rPr>
                  <w:rFonts w:hint="eastAsia" w:ascii="仿宋" w:hAnsi="仿宋" w:eastAsia="仿宋" w:cs="仿宋"/>
                  <w:bCs/>
                  <w:szCs w:val="32"/>
                </w:rPr>
                <w:t>1.5.1 资金账户</w:t>
              </w:r>
              <w:r>
                <w:tab/>
              </w:r>
              <w:r>
                <w:fldChar w:fldCharType="begin"/>
              </w:r>
              <w:r>
                <w:instrText xml:space="preserve"> PAGEREF _Toc466414610 </w:instrText>
              </w:r>
              <w:r>
                <w:fldChar w:fldCharType="separate"/>
              </w:r>
              <w:r>
                <w:t>40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_Toc1150200956 </w:instrText>
              </w:r>
              <w:r>
                <w:rPr>
                  <w:bCs/>
                  <w:lang w:val="zh-CN"/>
                </w:rPr>
                <w:fldChar w:fldCharType="separate"/>
              </w:r>
              <w:r>
                <w:rPr>
                  <w:rFonts w:hint="eastAsia" w:ascii="仿宋" w:hAnsi="仿宋" w:eastAsia="仿宋" w:cs="仿宋"/>
                </w:rPr>
                <w:t>1.5.2 票据托管账户</w:t>
              </w:r>
              <w:r>
                <w:tab/>
              </w:r>
              <w:r>
                <w:fldChar w:fldCharType="begin"/>
              </w:r>
              <w:r>
                <w:instrText xml:space="preserve"> PAGEREF _Toc1150200956 </w:instrText>
              </w:r>
              <w:r>
                <w:fldChar w:fldCharType="separate"/>
              </w:r>
              <w:r>
                <w:t>43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_Toc840897428 </w:instrText>
              </w:r>
              <w:r>
                <w:rPr>
                  <w:bCs/>
                  <w:lang w:val="zh-CN"/>
                </w:rPr>
                <w:fldChar w:fldCharType="separate"/>
              </w:r>
              <w:r>
                <w:rPr>
                  <w:rFonts w:hint="eastAsia" w:ascii="仿宋" w:hAnsi="仿宋" w:eastAsia="仿宋" w:cs="仿宋"/>
                  <w:bCs/>
                  <w:kern w:val="44"/>
                  <w:szCs w:val="40"/>
                </w:rPr>
                <w:t>第二章 电子商业汇票的签发和流转</w:t>
              </w:r>
              <w:r>
                <w:tab/>
              </w:r>
              <w:r>
                <w:fldChar w:fldCharType="begin"/>
              </w:r>
              <w:r>
                <w:instrText xml:space="preserve"> PAGEREF _Toc840897428 </w:instrText>
              </w:r>
              <w:r>
                <w:fldChar w:fldCharType="separate"/>
              </w:r>
              <w:r>
                <w:t>46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_Toc1813118634 </w:instrText>
              </w:r>
              <w:r>
                <w:rPr>
                  <w:bCs/>
                  <w:lang w:val="zh-CN"/>
                </w:rPr>
                <w:fldChar w:fldCharType="separate"/>
              </w:r>
              <w:r>
                <w:rPr>
                  <w:rFonts w:hint="eastAsia" w:ascii="仿宋" w:hAnsi="仿宋" w:eastAsia="仿宋" w:cs="仿宋"/>
                </w:rPr>
                <w:t>2.1 概述</w:t>
              </w:r>
              <w:r>
                <w:tab/>
              </w:r>
              <w:r>
                <w:fldChar w:fldCharType="begin"/>
              </w:r>
              <w:r>
                <w:instrText xml:space="preserve"> PAGEREF _Toc1813118634 </w:instrText>
              </w:r>
              <w:r>
                <w:fldChar w:fldCharType="separate"/>
              </w:r>
              <w:r>
                <w:t>46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_Toc1468154500 </w:instrText>
              </w:r>
              <w:r>
                <w:rPr>
                  <w:bCs/>
                  <w:lang w:val="zh-CN"/>
                </w:rPr>
                <w:fldChar w:fldCharType="separate"/>
              </w:r>
              <w:r>
                <w:rPr>
                  <w:rFonts w:hint="eastAsia" w:ascii="仿宋" w:hAnsi="仿宋" w:eastAsia="仿宋" w:cs="仿宋"/>
                  <w:lang w:bidi="ar"/>
                </w:rPr>
                <w:t>2.1.1 票据要素信息</w:t>
              </w:r>
              <w:r>
                <w:tab/>
              </w:r>
              <w:r>
                <w:fldChar w:fldCharType="begin"/>
              </w:r>
              <w:r>
                <w:instrText xml:space="preserve"> PAGEREF _Toc1468154500 </w:instrText>
              </w:r>
              <w:r>
                <w:fldChar w:fldCharType="separate"/>
              </w:r>
              <w:r>
                <w:t>46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_Toc1681405525 </w:instrText>
              </w:r>
              <w:r>
                <w:rPr>
                  <w:bCs/>
                  <w:lang w:val="zh-CN"/>
                </w:rPr>
                <w:fldChar w:fldCharType="separate"/>
              </w:r>
              <w:r>
                <w:rPr>
                  <w:rFonts w:hint="eastAsia" w:ascii="仿宋" w:hAnsi="仿宋" w:eastAsia="仿宋" w:cs="仿宋"/>
                  <w:bCs/>
                  <w:szCs w:val="32"/>
                  <w:lang w:bidi="ar"/>
                </w:rPr>
                <w:t>2.1.2 业务参与者要素信息</w:t>
              </w:r>
              <w:r>
                <w:tab/>
              </w:r>
              <w:r>
                <w:fldChar w:fldCharType="begin"/>
              </w:r>
              <w:r>
                <w:instrText xml:space="preserve"> PAGEREF _Toc1681405525 </w:instrText>
              </w:r>
              <w:r>
                <w:fldChar w:fldCharType="separate"/>
              </w:r>
              <w:r>
                <w:t>47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_Toc217480694 </w:instrText>
              </w:r>
              <w:r>
                <w:rPr>
                  <w:bCs/>
                  <w:lang w:val="zh-CN"/>
                </w:rPr>
                <w:fldChar w:fldCharType="separate"/>
              </w:r>
              <w:r>
                <w:rPr>
                  <w:rFonts w:hint="eastAsia" w:ascii="仿宋" w:hAnsi="仿宋" w:eastAsia="仿宋" w:cs="仿宋"/>
                  <w:bCs/>
                  <w:szCs w:val="32"/>
                  <w:lang w:bidi="ar"/>
                </w:rPr>
                <w:t>2.1.3 电子签名及代理签章</w:t>
              </w:r>
              <w:r>
                <w:tab/>
              </w:r>
              <w:r>
                <w:fldChar w:fldCharType="begin"/>
              </w:r>
              <w:r>
                <w:instrText xml:space="preserve"> PAGEREF _Toc217480694 </w:instrText>
              </w:r>
              <w:r>
                <w:fldChar w:fldCharType="separate"/>
              </w:r>
              <w:r>
                <w:t>49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_Toc517959328 </w:instrText>
              </w:r>
              <w:r>
                <w:rPr>
                  <w:bCs/>
                  <w:lang w:val="zh-CN"/>
                </w:rPr>
                <w:fldChar w:fldCharType="separate"/>
              </w:r>
              <w:r>
                <w:rPr>
                  <w:rFonts w:hint="eastAsia" w:ascii="仿宋" w:hAnsi="仿宋" w:eastAsia="仿宋" w:cs="仿宋"/>
                  <w:szCs w:val="32"/>
                </w:rPr>
                <w:t>2.2 电票的签发</w:t>
              </w:r>
              <w:r>
                <w:tab/>
              </w:r>
              <w:r>
                <w:fldChar w:fldCharType="begin"/>
              </w:r>
              <w:r>
                <w:instrText xml:space="preserve"> PAGEREF _Toc517959328 </w:instrText>
              </w:r>
              <w:r>
                <w:fldChar w:fldCharType="separate"/>
              </w:r>
              <w:r>
                <w:t>49</w:t>
              </w:r>
              <w:r>
                <w:fldChar w:fldCharType="end"/>
              </w:r>
              <w:r>
                <w:rPr>
                  <w:bCs/>
                  <w:lang w:val="zh-CN"/>
                </w:rPr>
                <w:fldChar w:fldCharType="end"/>
              </w:r>
            </w:p>
            <w:p>
              <w:pPr>
                <w:pStyle w:val="9"/>
                <w:tabs>
                  <w:tab w:val="right" w:leader="dot" w:pos="8306"/>
                </w:tabs>
                <w:rPr>
                  <w:rFonts w:hint="default" w:eastAsiaTheme="minorEastAsia"/>
                  <w:lang w:val="en-US" w:eastAsia="zh-CN"/>
                </w:rPr>
              </w:pPr>
              <w:r>
                <w:rPr>
                  <w:bCs/>
                  <w:lang w:val="zh-CN"/>
                </w:rPr>
                <w:fldChar w:fldCharType="begin"/>
              </w:r>
              <w:r>
                <w:rPr>
                  <w:bCs/>
                  <w:lang w:val="zh-CN"/>
                </w:rPr>
                <w:instrText xml:space="preserve"> HYPERLINK \l _Toc2019849289 </w:instrText>
              </w:r>
              <w:r>
                <w:rPr>
                  <w:bCs/>
                  <w:lang w:val="zh-CN"/>
                </w:rPr>
                <w:fldChar w:fldCharType="separate"/>
              </w:r>
              <w:r>
                <w:rPr>
                  <w:rFonts w:hint="eastAsia" w:ascii="仿宋" w:hAnsi="仿宋" w:eastAsia="仿宋"/>
                  <w:szCs w:val="32"/>
                </w:rPr>
                <w:t>2</w:t>
              </w:r>
              <w:r>
                <w:rPr>
                  <w:rFonts w:hint="eastAsia" w:ascii="仿宋" w:hAnsi="仿宋" w:eastAsia="仿宋" w:cs="仿宋"/>
                  <w:szCs w:val="32"/>
                </w:rPr>
                <w:t>.2.1 出票信息登记</w:t>
              </w:r>
              <w:r>
                <w:tab/>
              </w:r>
              <w:r>
                <w:rPr>
                  <w:bCs/>
                  <w:lang w:val="zh-CN"/>
                </w:rPr>
                <w:fldChar w:fldCharType="end"/>
              </w:r>
              <w:r>
                <w:rPr>
                  <w:rFonts w:hint="eastAsia"/>
                  <w:bCs/>
                  <w:lang w:val="en-US" w:eastAsia="zh-CN"/>
                </w:rPr>
                <w:t>49</w:t>
              </w:r>
            </w:p>
            <w:p>
              <w:pPr>
                <w:pStyle w:val="9"/>
                <w:tabs>
                  <w:tab w:val="right" w:leader="dot" w:pos="8306"/>
                </w:tabs>
              </w:pPr>
              <w:r>
                <w:rPr>
                  <w:bCs/>
                  <w:lang w:val="zh-CN"/>
                </w:rPr>
                <w:fldChar w:fldCharType="begin"/>
              </w:r>
              <w:r>
                <w:rPr>
                  <w:bCs/>
                  <w:lang w:val="zh-CN"/>
                </w:rPr>
                <w:instrText xml:space="preserve"> HYPERLINK \l _Toc1604370001 </w:instrText>
              </w:r>
              <w:r>
                <w:rPr>
                  <w:bCs/>
                  <w:lang w:val="zh-CN"/>
                </w:rPr>
                <w:fldChar w:fldCharType="separate"/>
              </w:r>
              <w:r>
                <w:rPr>
                  <w:rFonts w:hint="eastAsia" w:ascii="仿宋" w:hAnsi="仿宋" w:eastAsia="仿宋" w:cs="仿宋"/>
                  <w:szCs w:val="32"/>
                </w:rPr>
                <w:t>2.2.2 提示承兑</w:t>
              </w:r>
              <w:r>
                <w:tab/>
              </w:r>
              <w:r>
                <w:fldChar w:fldCharType="begin"/>
              </w:r>
              <w:r>
                <w:instrText xml:space="preserve"> PAGEREF _Toc1604370001 </w:instrText>
              </w:r>
              <w:r>
                <w:fldChar w:fldCharType="separate"/>
              </w:r>
              <w:r>
                <w:t>51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_Toc256404853 </w:instrText>
              </w:r>
              <w:r>
                <w:rPr>
                  <w:bCs/>
                  <w:lang w:val="zh-CN"/>
                </w:rPr>
                <w:fldChar w:fldCharType="separate"/>
              </w:r>
              <w:r>
                <w:rPr>
                  <w:rFonts w:hint="eastAsia" w:ascii="仿宋" w:hAnsi="仿宋" w:eastAsia="仿宋" w:cs="仿宋"/>
                  <w:szCs w:val="32"/>
                </w:rPr>
                <w:t>2.2.3 提示收票</w:t>
              </w:r>
              <w:r>
                <w:tab/>
              </w:r>
              <w:r>
                <w:fldChar w:fldCharType="begin"/>
              </w:r>
              <w:r>
                <w:instrText xml:space="preserve"> PAGEREF _Toc256404853 </w:instrText>
              </w:r>
              <w:r>
                <w:fldChar w:fldCharType="separate"/>
              </w:r>
              <w:r>
                <w:t>53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_Toc212852997 </w:instrText>
              </w:r>
              <w:r>
                <w:rPr>
                  <w:bCs/>
                  <w:lang w:val="zh-CN"/>
                </w:rPr>
                <w:fldChar w:fldCharType="separate"/>
              </w:r>
              <w:r>
                <w:rPr>
                  <w:rFonts w:hint="eastAsia" w:ascii="仿宋" w:hAnsi="仿宋" w:eastAsia="仿宋" w:cs="仿宋"/>
                  <w:szCs w:val="32"/>
                </w:rPr>
                <w:t>2.2.4 撤票</w:t>
              </w:r>
              <w:r>
                <w:tab/>
              </w:r>
              <w:r>
                <w:fldChar w:fldCharType="begin"/>
              </w:r>
              <w:r>
                <w:instrText xml:space="preserve"> PAGEREF _Toc212852997 </w:instrText>
              </w:r>
              <w:r>
                <w:fldChar w:fldCharType="separate"/>
              </w:r>
              <w:r>
                <w:t>55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_Toc1941777674 </w:instrText>
              </w:r>
              <w:r>
                <w:rPr>
                  <w:bCs/>
                  <w:lang w:val="zh-CN"/>
                </w:rPr>
                <w:fldChar w:fldCharType="separate"/>
              </w:r>
              <w:r>
                <w:rPr>
                  <w:rFonts w:hint="eastAsia" w:ascii="仿宋" w:hAnsi="仿宋" w:eastAsia="仿宋" w:cs="仿宋"/>
                  <w:szCs w:val="32"/>
                </w:rPr>
                <w:t>2.3 保证</w:t>
              </w:r>
              <w:r>
                <w:tab/>
              </w:r>
              <w:r>
                <w:fldChar w:fldCharType="begin"/>
              </w:r>
              <w:r>
                <w:instrText xml:space="preserve"> PAGEREF _Toc1941777674 </w:instrText>
              </w:r>
              <w:r>
                <w:fldChar w:fldCharType="separate"/>
              </w:r>
              <w:r>
                <w:t>56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_Toc473834711 </w:instrText>
              </w:r>
              <w:r>
                <w:rPr>
                  <w:bCs/>
                  <w:lang w:val="zh-CN"/>
                </w:rPr>
                <w:fldChar w:fldCharType="separate"/>
              </w:r>
              <w:r>
                <w:rPr>
                  <w:rFonts w:hint="eastAsia" w:ascii="仿宋" w:hAnsi="仿宋" w:eastAsia="仿宋" w:cs="仿宋"/>
                  <w:szCs w:val="32"/>
                </w:rPr>
                <w:t>2.4 质押及质押解除</w:t>
              </w:r>
              <w:r>
                <w:tab/>
              </w:r>
              <w:r>
                <w:fldChar w:fldCharType="begin"/>
              </w:r>
              <w:r>
                <w:instrText xml:space="preserve"> PAGEREF _Toc473834711 </w:instrText>
              </w:r>
              <w:r>
                <w:fldChar w:fldCharType="separate"/>
              </w:r>
              <w:r>
                <w:t>60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_Toc1043663694 </w:instrText>
              </w:r>
              <w:r>
                <w:rPr>
                  <w:bCs/>
                  <w:lang w:val="zh-CN"/>
                </w:rPr>
                <w:fldChar w:fldCharType="separate"/>
              </w:r>
              <w:r>
                <w:rPr>
                  <w:rFonts w:hint="eastAsia" w:ascii="仿宋" w:hAnsi="仿宋" w:eastAsia="仿宋" w:cs="仿宋"/>
                  <w:bCs/>
                  <w:szCs w:val="32"/>
                </w:rPr>
                <w:t>2.4.1 质押申请</w:t>
              </w:r>
              <w:r>
                <w:tab/>
              </w:r>
              <w:r>
                <w:fldChar w:fldCharType="begin"/>
              </w:r>
              <w:r>
                <w:instrText xml:space="preserve"> PAGEREF _Toc1043663694 </w:instrText>
              </w:r>
              <w:r>
                <w:fldChar w:fldCharType="separate"/>
              </w:r>
              <w:r>
                <w:t>60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_Toc268977899 </w:instrText>
              </w:r>
              <w:r>
                <w:rPr>
                  <w:bCs/>
                  <w:lang w:val="zh-CN"/>
                </w:rPr>
                <w:fldChar w:fldCharType="separate"/>
              </w:r>
              <w:r>
                <w:rPr>
                  <w:rFonts w:hint="eastAsia" w:ascii="仿宋" w:hAnsi="仿宋" w:eastAsia="仿宋" w:cs="仿宋"/>
                  <w:bCs/>
                  <w:szCs w:val="32"/>
                </w:rPr>
                <w:t>2.4.2 质押解除</w:t>
              </w:r>
              <w:r>
                <w:tab/>
              </w:r>
              <w:r>
                <w:fldChar w:fldCharType="begin"/>
              </w:r>
              <w:r>
                <w:instrText xml:space="preserve"> PAGEREF _Toc268977899 </w:instrText>
              </w:r>
              <w:r>
                <w:fldChar w:fldCharType="separate"/>
              </w:r>
              <w:r>
                <w:t>62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_Toc460821854 </w:instrText>
              </w:r>
              <w:r>
                <w:rPr>
                  <w:bCs/>
                  <w:lang w:val="zh-CN"/>
                </w:rPr>
                <w:fldChar w:fldCharType="separate"/>
              </w:r>
              <w:r>
                <w:rPr>
                  <w:rFonts w:hint="eastAsia" w:ascii="仿宋" w:hAnsi="仿宋" w:eastAsia="仿宋" w:cs="仿宋"/>
                  <w:szCs w:val="32"/>
                </w:rPr>
                <w:t>2.5 转让背书</w:t>
              </w:r>
              <w:r>
                <w:tab/>
              </w:r>
              <w:r>
                <w:fldChar w:fldCharType="begin"/>
              </w:r>
              <w:r>
                <w:instrText xml:space="preserve"> PAGEREF _Toc460821854 </w:instrText>
              </w:r>
              <w:r>
                <w:fldChar w:fldCharType="separate"/>
              </w:r>
              <w:r>
                <w:t>64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_Toc30113866 </w:instrText>
              </w:r>
              <w:r>
                <w:rPr>
                  <w:bCs/>
                  <w:lang w:val="zh-CN"/>
                </w:rPr>
                <w:fldChar w:fldCharType="separate"/>
              </w:r>
              <w:r>
                <w:rPr>
                  <w:rFonts w:hint="eastAsia" w:ascii="仿宋" w:hAnsi="仿宋" w:eastAsia="仿宋" w:cs="仿宋"/>
                  <w:bCs/>
                  <w:szCs w:val="32"/>
                </w:rPr>
                <w:t xml:space="preserve">2.6 </w:t>
              </w:r>
              <w:r>
                <w:rPr>
                  <w:rFonts w:hint="eastAsia" w:ascii="仿宋" w:hAnsi="仿宋" w:eastAsia="仿宋" w:cs="仿宋"/>
                  <w:szCs w:val="32"/>
                </w:rPr>
                <w:t>贴现</w:t>
              </w:r>
              <w:r>
                <w:tab/>
              </w:r>
              <w:r>
                <w:fldChar w:fldCharType="begin"/>
              </w:r>
              <w:r>
                <w:instrText xml:space="preserve"> PAGEREF _Toc30113866 </w:instrText>
              </w:r>
              <w:r>
                <w:fldChar w:fldCharType="separate"/>
              </w:r>
              <w:r>
                <w:t>66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_Toc942197528 </w:instrText>
              </w:r>
              <w:r>
                <w:rPr>
                  <w:bCs/>
                  <w:lang w:val="zh-CN"/>
                </w:rPr>
                <w:fldChar w:fldCharType="separate"/>
              </w:r>
              <w:r>
                <w:rPr>
                  <w:rFonts w:hint="eastAsia" w:ascii="仿宋" w:hAnsi="仿宋" w:eastAsia="仿宋" w:cs="仿宋"/>
                  <w:bCs/>
                  <w:szCs w:val="32"/>
                </w:rPr>
                <w:t>2.6.1 贴现申请</w:t>
              </w:r>
              <w:r>
                <w:tab/>
              </w:r>
              <w:r>
                <w:fldChar w:fldCharType="begin"/>
              </w:r>
              <w:r>
                <w:instrText xml:space="preserve"> PAGEREF _Toc942197528 </w:instrText>
              </w:r>
              <w:r>
                <w:fldChar w:fldCharType="separate"/>
              </w:r>
              <w:r>
                <w:t>67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_Toc1166233506 </w:instrText>
              </w:r>
              <w:r>
                <w:rPr>
                  <w:bCs/>
                  <w:lang w:val="zh-CN"/>
                </w:rPr>
                <w:fldChar w:fldCharType="separate"/>
              </w:r>
              <w:r>
                <w:rPr>
                  <w:rFonts w:hint="eastAsia" w:ascii="仿宋" w:hAnsi="仿宋" w:eastAsia="仿宋" w:cs="仿宋"/>
                  <w:bCs/>
                  <w:szCs w:val="32"/>
                </w:rPr>
                <w:t>2.6.2 回购式贴现赎回</w:t>
              </w:r>
              <w:r>
                <w:tab/>
              </w:r>
              <w:r>
                <w:fldChar w:fldCharType="begin"/>
              </w:r>
              <w:r>
                <w:instrText xml:space="preserve"> PAGEREF _Toc1166233506 </w:instrText>
              </w:r>
              <w:r>
                <w:fldChar w:fldCharType="separate"/>
              </w:r>
              <w:r>
                <w:t>70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_Toc1641768422 </w:instrText>
              </w:r>
              <w:r>
                <w:rPr>
                  <w:bCs/>
                  <w:lang w:val="zh-CN"/>
                </w:rPr>
                <w:fldChar w:fldCharType="separate"/>
              </w:r>
              <w:r>
                <w:rPr>
                  <w:rFonts w:hint="eastAsia" w:ascii="仿宋" w:hAnsi="仿宋" w:eastAsia="仿宋" w:cs="仿宋"/>
                  <w:bCs/>
                  <w:szCs w:val="32"/>
                </w:rPr>
                <w:t>2.7 标准化票据存托</w:t>
              </w:r>
              <w:r>
                <w:tab/>
              </w:r>
              <w:r>
                <w:fldChar w:fldCharType="begin"/>
              </w:r>
              <w:r>
                <w:instrText xml:space="preserve"> PAGEREF _Toc1641768422 </w:instrText>
              </w:r>
              <w:r>
                <w:fldChar w:fldCharType="separate"/>
              </w:r>
              <w:r>
                <w:t>73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_Toc684281265 </w:instrText>
              </w:r>
              <w:r>
                <w:rPr>
                  <w:bCs/>
                  <w:lang w:val="zh-CN"/>
                </w:rPr>
                <w:fldChar w:fldCharType="separate"/>
              </w:r>
              <w:r>
                <w:rPr>
                  <w:rFonts w:hint="eastAsia" w:ascii="仿宋" w:hAnsi="仿宋" w:eastAsia="仿宋" w:cs="仿宋"/>
                  <w:bCs/>
                  <w:szCs w:val="32"/>
                </w:rPr>
                <w:t>2.8 非交易过户</w:t>
              </w:r>
              <w:r>
                <w:tab/>
              </w:r>
              <w:r>
                <w:fldChar w:fldCharType="begin"/>
              </w:r>
              <w:r>
                <w:instrText xml:space="preserve"> PAGEREF _Toc684281265 </w:instrText>
              </w:r>
              <w:r>
                <w:fldChar w:fldCharType="separate"/>
              </w:r>
              <w:r>
                <w:t>77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_Toc414418670 </w:instrText>
              </w:r>
              <w:r>
                <w:rPr>
                  <w:bCs/>
                  <w:lang w:val="zh-CN"/>
                </w:rPr>
                <w:fldChar w:fldCharType="separate"/>
              </w:r>
              <w:r>
                <w:rPr>
                  <w:rFonts w:hint="eastAsia" w:ascii="仿宋" w:hAnsi="仿宋" w:eastAsia="仿宋" w:cs="仿宋"/>
                  <w:bCs/>
                  <w:szCs w:val="32"/>
                </w:rPr>
                <w:t xml:space="preserve">2.9 </w:t>
              </w:r>
              <w:r>
                <w:rPr>
                  <w:rFonts w:hint="eastAsia" w:ascii="仿宋" w:hAnsi="仿宋" w:eastAsia="仿宋" w:cs="仿宋"/>
                  <w:szCs w:val="32"/>
                </w:rPr>
                <w:t>票据查验</w:t>
              </w:r>
              <w:r>
                <w:tab/>
              </w:r>
              <w:r>
                <w:fldChar w:fldCharType="begin"/>
              </w:r>
              <w:r>
                <w:instrText xml:space="preserve"> PAGEREF _Toc414418670 </w:instrText>
              </w:r>
              <w:r>
                <w:fldChar w:fldCharType="separate"/>
              </w:r>
              <w:r>
                <w:t>79</w:t>
              </w:r>
              <w:r>
                <w:fldChar w:fldCharType="end"/>
              </w:r>
              <w:r>
                <w:rPr>
                  <w:bCs/>
                  <w:lang w:val="zh-CN"/>
                </w:rPr>
                <w:fldChar w:fldCharType="end"/>
              </w:r>
            </w:p>
            <w:p>
              <w:pPr>
                <w:pStyle w:val="15"/>
                <w:tabs>
                  <w:tab w:val="right" w:leader="dot" w:pos="8306"/>
                </w:tabs>
                <w:rPr>
                  <w:rFonts w:hint="eastAsia" w:eastAsiaTheme="minorEastAsia"/>
                  <w:lang w:val="en-US" w:eastAsia="zh-CN"/>
                </w:rPr>
              </w:pPr>
              <w:r>
                <w:rPr>
                  <w:bCs/>
                  <w:lang w:val="zh-CN"/>
                </w:rPr>
                <w:fldChar w:fldCharType="begin"/>
              </w:r>
              <w:r>
                <w:rPr>
                  <w:bCs/>
                  <w:lang w:val="zh-CN"/>
                </w:rPr>
                <w:instrText xml:space="preserve"> HYPERLINK \l _Toc706166247 </w:instrText>
              </w:r>
              <w:r>
                <w:rPr>
                  <w:bCs/>
                  <w:lang w:val="zh-CN"/>
                </w:rPr>
                <w:fldChar w:fldCharType="separate"/>
              </w:r>
              <w:r>
                <w:rPr>
                  <w:rFonts w:hint="eastAsia" w:ascii="仿宋" w:hAnsi="仿宋" w:eastAsia="仿宋" w:cs="仿宋"/>
                  <w:szCs w:val="32"/>
                </w:rPr>
                <w:t>2.10 “不得转让”标记的撤销</w:t>
              </w:r>
              <w:r>
                <w:tab/>
              </w:r>
              <w:r>
                <w:fldChar w:fldCharType="begin"/>
              </w:r>
              <w:r>
                <w:instrText xml:space="preserve"> PAGEREF _Toc706166247 </w:instrText>
              </w:r>
              <w:r>
                <w:fldChar w:fldCharType="separate"/>
              </w:r>
              <w:r>
                <w:t>8</w:t>
              </w:r>
              <w:r>
                <w:fldChar w:fldCharType="end"/>
              </w:r>
              <w:r>
                <w:rPr>
                  <w:bCs/>
                  <w:lang w:val="zh-CN"/>
                </w:rPr>
                <w:fldChar w:fldCharType="end"/>
              </w:r>
              <w:r>
                <w:rPr>
                  <w:rFonts w:hint="eastAsia"/>
                  <w:bCs/>
                  <w:lang w:val="en-US" w:eastAsia="zh-CN"/>
                </w:rPr>
                <w:t>1</w:t>
              </w:r>
            </w:p>
            <w:p>
              <w:pPr>
                <w:pStyle w:val="15"/>
                <w:tabs>
                  <w:tab w:val="right" w:leader="dot" w:pos="8306"/>
                </w:tabs>
              </w:pPr>
              <w:r>
                <w:rPr>
                  <w:bCs/>
                  <w:lang w:val="zh-CN"/>
                </w:rPr>
                <w:fldChar w:fldCharType="begin"/>
              </w:r>
              <w:r>
                <w:rPr>
                  <w:bCs/>
                  <w:lang w:val="zh-CN"/>
                </w:rPr>
                <w:instrText xml:space="preserve"> HYPERLINK \l _Toc981932852 </w:instrText>
              </w:r>
              <w:r>
                <w:rPr>
                  <w:bCs/>
                  <w:lang w:val="zh-CN"/>
                </w:rPr>
                <w:fldChar w:fldCharType="separate"/>
              </w:r>
              <w:r>
                <w:rPr>
                  <w:rFonts w:hint="eastAsia" w:ascii="仿宋" w:hAnsi="仿宋" w:eastAsia="仿宋" w:cs="仿宋"/>
                  <w:szCs w:val="32"/>
                </w:rPr>
                <w:t>2.11 冻结和冻结解除登记</w:t>
              </w:r>
              <w:r>
                <w:tab/>
              </w:r>
              <w:r>
                <w:fldChar w:fldCharType="begin"/>
              </w:r>
              <w:r>
                <w:instrText xml:space="preserve"> PAGEREF _Toc981932852 </w:instrText>
              </w:r>
              <w:r>
                <w:fldChar w:fldCharType="separate"/>
              </w:r>
              <w:r>
                <w:t>82</w:t>
              </w:r>
              <w:r>
                <w:fldChar w:fldCharType="end"/>
              </w:r>
              <w:r>
                <w:rPr>
                  <w:bCs/>
                  <w:lang w:val="zh-CN"/>
                </w:rPr>
                <w:fldChar w:fldCharType="end"/>
              </w:r>
            </w:p>
            <w:p>
              <w:pPr>
                <w:pStyle w:val="9"/>
                <w:tabs>
                  <w:tab w:val="right" w:leader="dot" w:pos="8306"/>
                </w:tabs>
                <w:rPr>
                  <w:rFonts w:hint="eastAsia" w:eastAsiaTheme="minorEastAsia"/>
                  <w:lang w:val="en-US" w:eastAsia="zh-CN"/>
                </w:rPr>
              </w:pPr>
              <w:r>
                <w:rPr>
                  <w:bCs/>
                  <w:lang w:val="zh-CN"/>
                </w:rPr>
                <w:fldChar w:fldCharType="begin"/>
              </w:r>
              <w:r>
                <w:rPr>
                  <w:bCs/>
                  <w:lang w:val="zh-CN"/>
                </w:rPr>
                <w:instrText xml:space="preserve"> HYPERLINK \l _Toc955982787 </w:instrText>
              </w:r>
              <w:r>
                <w:rPr>
                  <w:bCs/>
                  <w:lang w:val="zh-CN"/>
                </w:rPr>
                <w:fldChar w:fldCharType="separate"/>
              </w:r>
              <w:r>
                <w:rPr>
                  <w:rFonts w:hint="eastAsia" w:ascii="仿宋" w:hAnsi="仿宋" w:eastAsia="仿宋" w:cs="楷体"/>
                  <w:szCs w:val="32"/>
                </w:rPr>
                <w:t>2.11</w:t>
              </w:r>
              <w:r>
                <w:rPr>
                  <w:rFonts w:ascii="仿宋" w:hAnsi="仿宋" w:eastAsia="仿宋" w:cs="楷体"/>
                  <w:szCs w:val="32"/>
                </w:rPr>
                <w:t>.1</w:t>
              </w:r>
              <w:r>
                <w:rPr>
                  <w:rFonts w:hint="eastAsia" w:ascii="仿宋" w:hAnsi="仿宋" w:eastAsia="仿宋" w:cs="楷体"/>
                  <w:szCs w:val="32"/>
                </w:rPr>
                <w:t xml:space="preserve"> 冻结登记</w:t>
              </w:r>
              <w:r>
                <w:tab/>
              </w:r>
              <w:r>
                <w:fldChar w:fldCharType="begin"/>
              </w:r>
              <w:r>
                <w:instrText xml:space="preserve"> PAGEREF _Toc955982787 </w:instrText>
              </w:r>
              <w:r>
                <w:fldChar w:fldCharType="separate"/>
              </w:r>
              <w:r>
                <w:t>8</w:t>
              </w:r>
              <w:r>
                <w:fldChar w:fldCharType="end"/>
              </w:r>
              <w:r>
                <w:rPr>
                  <w:bCs/>
                  <w:lang w:val="zh-CN"/>
                </w:rPr>
                <w:fldChar w:fldCharType="end"/>
              </w:r>
              <w:r>
                <w:rPr>
                  <w:rFonts w:hint="eastAsia"/>
                  <w:bCs/>
                  <w:lang w:val="en-US" w:eastAsia="zh-CN"/>
                </w:rPr>
                <w:t>3</w:t>
              </w:r>
            </w:p>
            <w:p>
              <w:pPr>
                <w:pStyle w:val="9"/>
                <w:tabs>
                  <w:tab w:val="right" w:leader="dot" w:pos="8306"/>
                </w:tabs>
              </w:pPr>
              <w:r>
                <w:rPr>
                  <w:bCs/>
                  <w:lang w:val="zh-CN"/>
                </w:rPr>
                <w:fldChar w:fldCharType="begin"/>
              </w:r>
              <w:r>
                <w:rPr>
                  <w:bCs/>
                  <w:lang w:val="zh-CN"/>
                </w:rPr>
                <w:instrText xml:space="preserve"> HYPERLINK \l _Toc1181361684 </w:instrText>
              </w:r>
              <w:r>
                <w:rPr>
                  <w:bCs/>
                  <w:lang w:val="zh-CN"/>
                </w:rPr>
                <w:fldChar w:fldCharType="separate"/>
              </w:r>
              <w:r>
                <w:rPr>
                  <w:rFonts w:hint="eastAsia" w:ascii="仿宋" w:hAnsi="仿宋" w:eastAsia="仿宋" w:cs="楷体"/>
                  <w:szCs w:val="32"/>
                </w:rPr>
                <w:t>2.11</w:t>
              </w:r>
              <w:r>
                <w:rPr>
                  <w:rFonts w:ascii="仿宋" w:hAnsi="仿宋" w:eastAsia="仿宋" w:cs="楷体"/>
                  <w:szCs w:val="32"/>
                </w:rPr>
                <w:t>.2</w:t>
              </w:r>
              <w:r>
                <w:rPr>
                  <w:rFonts w:hint="eastAsia" w:ascii="仿宋" w:hAnsi="仿宋" w:eastAsia="仿宋" w:cs="楷体"/>
                  <w:szCs w:val="32"/>
                </w:rPr>
                <w:t xml:space="preserve"> 解除冻结登记</w:t>
              </w:r>
              <w:r>
                <w:tab/>
              </w:r>
              <w:r>
                <w:fldChar w:fldCharType="begin"/>
              </w:r>
              <w:r>
                <w:instrText xml:space="preserve"> PAGEREF _Toc1181361684 </w:instrText>
              </w:r>
              <w:r>
                <w:fldChar w:fldCharType="separate"/>
              </w:r>
              <w:r>
                <w:t>84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_Toc141231433 </w:instrText>
              </w:r>
              <w:r>
                <w:rPr>
                  <w:bCs/>
                  <w:lang w:val="zh-CN"/>
                </w:rPr>
                <w:fldChar w:fldCharType="separate"/>
              </w:r>
              <w:r>
                <w:rPr>
                  <w:rFonts w:hint="eastAsia" w:ascii="仿宋" w:hAnsi="仿宋" w:eastAsia="仿宋" w:cs="仿宋"/>
                  <w:spacing w:val="-7"/>
                </w:rPr>
                <w:t>2.12 交易关系信息登记</w:t>
              </w:r>
              <w:r>
                <w:tab/>
              </w:r>
              <w:r>
                <w:fldChar w:fldCharType="begin"/>
              </w:r>
              <w:r>
                <w:instrText xml:space="preserve"> PAGEREF _Toc141231433 </w:instrText>
              </w:r>
              <w:r>
                <w:fldChar w:fldCharType="separate"/>
              </w:r>
              <w:r>
                <w:t>85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_Toc391592388 </w:instrText>
              </w:r>
              <w:r>
                <w:rPr>
                  <w:bCs/>
                  <w:lang w:val="zh-CN"/>
                </w:rPr>
                <w:fldChar w:fldCharType="separate"/>
              </w:r>
              <w:r>
                <w:rPr>
                  <w:rFonts w:hint="eastAsia" w:ascii="仿宋" w:hAnsi="仿宋" w:eastAsia="仿宋" w:cs="仿宋"/>
                  <w:bCs/>
                  <w:kern w:val="44"/>
                  <w:szCs w:val="40"/>
                </w:rPr>
                <w:t>第三章 “票付通”业务</w:t>
              </w:r>
              <w:r>
                <w:tab/>
              </w:r>
              <w:r>
                <w:fldChar w:fldCharType="begin"/>
              </w:r>
              <w:r>
                <w:instrText xml:space="preserve"> PAGEREF _Toc391592388 </w:instrText>
              </w:r>
              <w:r>
                <w:fldChar w:fldCharType="separate"/>
              </w:r>
              <w:r>
                <w:t>88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_Toc1300165659 </w:instrText>
              </w:r>
              <w:r>
                <w:rPr>
                  <w:bCs/>
                  <w:lang w:val="zh-CN"/>
                </w:rPr>
                <w:fldChar w:fldCharType="separate"/>
              </w:r>
              <w:r>
                <w:rPr>
                  <w:rFonts w:hint="eastAsia" w:ascii="仿宋" w:hAnsi="仿宋" w:eastAsia="仿宋" w:cs="仿宋"/>
                  <w:bCs/>
                  <w:szCs w:val="32"/>
                </w:rPr>
                <w:t>3.1 概述</w:t>
              </w:r>
              <w:r>
                <w:tab/>
              </w:r>
              <w:r>
                <w:fldChar w:fldCharType="begin"/>
              </w:r>
              <w:r>
                <w:instrText xml:space="preserve"> PAGEREF _Toc1300165659 </w:instrText>
              </w:r>
              <w:r>
                <w:fldChar w:fldCharType="separate"/>
              </w:r>
              <w:r>
                <w:t>88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_Toc35815194 </w:instrText>
              </w:r>
              <w:r>
                <w:rPr>
                  <w:bCs/>
                  <w:lang w:val="zh-CN"/>
                </w:rPr>
                <w:fldChar w:fldCharType="separate"/>
              </w:r>
              <w:r>
                <w:rPr>
                  <w:rFonts w:hint="eastAsia" w:ascii="仿宋" w:hAnsi="仿宋" w:eastAsia="仿宋" w:cs="仿宋"/>
                  <w:bCs/>
                  <w:szCs w:val="32"/>
                  <w:lang w:bidi="ar"/>
                </w:rPr>
                <w:t>3.2 企业签约/解约</w:t>
              </w:r>
              <w:r>
                <w:tab/>
              </w:r>
              <w:r>
                <w:fldChar w:fldCharType="begin"/>
              </w:r>
              <w:r>
                <w:instrText xml:space="preserve"> PAGEREF _Toc35815194 </w:instrText>
              </w:r>
              <w:r>
                <w:fldChar w:fldCharType="separate"/>
              </w:r>
              <w:r>
                <w:t>88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_Toc858006998 </w:instrText>
              </w:r>
              <w:r>
                <w:rPr>
                  <w:bCs/>
                  <w:lang w:val="zh-CN"/>
                </w:rPr>
                <w:fldChar w:fldCharType="separate"/>
              </w:r>
              <w:r>
                <w:rPr>
                  <w:rFonts w:hint="eastAsia" w:ascii="仿宋" w:hAnsi="仿宋" w:eastAsia="仿宋" w:cs="仿宋"/>
                  <w:bCs/>
                  <w:szCs w:val="32"/>
                  <w:lang w:bidi="ar"/>
                </w:rPr>
                <w:t>3.2.1 两方签约/解约</w:t>
              </w:r>
              <w:r>
                <w:tab/>
              </w:r>
              <w:r>
                <w:fldChar w:fldCharType="begin"/>
              </w:r>
              <w:r>
                <w:instrText xml:space="preserve"> PAGEREF _Toc858006998 </w:instrText>
              </w:r>
              <w:r>
                <w:fldChar w:fldCharType="separate"/>
              </w:r>
              <w:r>
                <w:t>89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_Toc302882967 </w:instrText>
              </w:r>
              <w:r>
                <w:rPr>
                  <w:bCs/>
                  <w:lang w:val="zh-CN"/>
                </w:rPr>
                <w:fldChar w:fldCharType="separate"/>
              </w:r>
              <w:r>
                <w:rPr>
                  <w:rFonts w:hint="eastAsia" w:ascii="仿宋" w:hAnsi="仿宋" w:eastAsia="仿宋" w:cs="仿宋"/>
                  <w:bCs/>
                  <w:szCs w:val="32"/>
                  <w:lang w:bidi="ar"/>
                </w:rPr>
                <w:t>3.2.2 三方签约/解约</w:t>
              </w:r>
              <w:r>
                <w:tab/>
              </w:r>
              <w:r>
                <w:fldChar w:fldCharType="begin"/>
              </w:r>
              <w:r>
                <w:instrText xml:space="preserve"> PAGEREF _Toc302882967 </w:instrText>
              </w:r>
              <w:r>
                <w:fldChar w:fldCharType="separate"/>
              </w:r>
              <w:r>
                <w:t>89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_Toc876712622 </w:instrText>
              </w:r>
              <w:r>
                <w:rPr>
                  <w:bCs/>
                  <w:lang w:val="zh-CN"/>
                </w:rPr>
                <w:fldChar w:fldCharType="separate"/>
              </w:r>
              <w:r>
                <w:rPr>
                  <w:rFonts w:hint="eastAsia" w:ascii="仿宋" w:hAnsi="仿宋" w:eastAsia="仿宋" w:cs="仿宋"/>
                  <w:bCs/>
                  <w:szCs w:val="32"/>
                  <w:lang w:bidi="ar"/>
                </w:rPr>
                <w:t>3.3 线上票据支付</w:t>
              </w:r>
              <w:r>
                <w:tab/>
              </w:r>
              <w:r>
                <w:fldChar w:fldCharType="begin"/>
              </w:r>
              <w:r>
                <w:instrText xml:space="preserve"> PAGEREF _Toc876712622 </w:instrText>
              </w:r>
              <w:r>
                <w:fldChar w:fldCharType="separate"/>
              </w:r>
              <w:r>
                <w:t>90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_Toc523641984 </w:instrText>
              </w:r>
              <w:r>
                <w:rPr>
                  <w:bCs/>
                  <w:lang w:val="zh-CN"/>
                </w:rPr>
                <w:fldChar w:fldCharType="separate"/>
              </w:r>
              <w:r>
                <w:rPr>
                  <w:rFonts w:hint="eastAsia" w:ascii="仿宋" w:hAnsi="仿宋" w:eastAsia="仿宋" w:cs="仿宋"/>
                  <w:bCs/>
                  <w:szCs w:val="32"/>
                  <w:lang w:bidi="ar"/>
                </w:rPr>
                <w:t>3.3.1 支付申请</w:t>
              </w:r>
              <w:r>
                <w:tab/>
              </w:r>
              <w:r>
                <w:fldChar w:fldCharType="begin"/>
              </w:r>
              <w:r>
                <w:instrText xml:space="preserve"> PAGEREF _Toc523641984 </w:instrText>
              </w:r>
              <w:r>
                <w:fldChar w:fldCharType="separate"/>
              </w:r>
              <w:r>
                <w:t>91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_Toc1771037468 </w:instrText>
              </w:r>
              <w:r>
                <w:rPr>
                  <w:bCs/>
                  <w:lang w:val="zh-CN"/>
                </w:rPr>
                <w:fldChar w:fldCharType="separate"/>
              </w:r>
              <w:r>
                <w:rPr>
                  <w:rFonts w:hint="eastAsia" w:ascii="仿宋" w:hAnsi="仿宋" w:eastAsia="仿宋" w:cs="仿宋"/>
                  <w:bCs/>
                  <w:szCs w:val="32"/>
                  <w:lang w:bidi="ar"/>
                </w:rPr>
                <w:t>3.3.2 票据锁定</w:t>
              </w:r>
              <w:r>
                <w:tab/>
              </w:r>
              <w:r>
                <w:fldChar w:fldCharType="begin"/>
              </w:r>
              <w:r>
                <w:instrText xml:space="preserve"> PAGEREF _Toc1771037468 </w:instrText>
              </w:r>
              <w:r>
                <w:fldChar w:fldCharType="separate"/>
              </w:r>
              <w:r>
                <w:t>91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_Toc410634499 </w:instrText>
              </w:r>
              <w:r>
                <w:rPr>
                  <w:bCs/>
                  <w:lang w:val="zh-CN"/>
                </w:rPr>
                <w:fldChar w:fldCharType="separate"/>
              </w:r>
              <w:r>
                <w:rPr>
                  <w:rFonts w:hint="eastAsia" w:ascii="仿宋" w:hAnsi="仿宋" w:eastAsia="仿宋" w:cs="仿宋"/>
                  <w:bCs/>
                  <w:szCs w:val="32"/>
                  <w:lang w:bidi="ar"/>
                </w:rPr>
                <w:t>3.3.3 票据解锁</w:t>
              </w:r>
              <w:r>
                <w:tab/>
              </w:r>
              <w:r>
                <w:fldChar w:fldCharType="begin"/>
              </w:r>
              <w:r>
                <w:instrText xml:space="preserve"> PAGEREF _Toc410634499 </w:instrText>
              </w:r>
              <w:r>
                <w:fldChar w:fldCharType="separate"/>
              </w:r>
              <w:r>
                <w:t>95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_Toc741122678 </w:instrText>
              </w:r>
              <w:r>
                <w:rPr>
                  <w:bCs/>
                  <w:lang w:val="zh-CN"/>
                </w:rPr>
                <w:fldChar w:fldCharType="separate"/>
              </w:r>
              <w:r>
                <w:rPr>
                  <w:rFonts w:hint="eastAsia" w:ascii="仿宋" w:hAnsi="仿宋" w:eastAsia="仿宋" w:cs="仿宋"/>
                  <w:bCs/>
                  <w:szCs w:val="32"/>
                  <w:lang w:bidi="ar"/>
                </w:rPr>
                <w:t>3.3.4 签收或驳回票据</w:t>
              </w:r>
              <w:r>
                <w:tab/>
              </w:r>
              <w:r>
                <w:fldChar w:fldCharType="begin"/>
              </w:r>
              <w:r>
                <w:instrText xml:space="preserve"> PAGEREF _Toc741122678 </w:instrText>
              </w:r>
              <w:r>
                <w:fldChar w:fldCharType="separate"/>
              </w:r>
              <w:r>
                <w:t>96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_Toc141513148 </w:instrText>
              </w:r>
              <w:r>
                <w:rPr>
                  <w:bCs/>
                  <w:lang w:val="zh-CN"/>
                </w:rPr>
                <w:fldChar w:fldCharType="separate"/>
              </w:r>
              <w:r>
                <w:rPr>
                  <w:rFonts w:hint="eastAsia" w:ascii="仿宋" w:hAnsi="仿宋" w:eastAsia="仿宋" w:cs="仿宋"/>
                  <w:bCs/>
                  <w:szCs w:val="32"/>
                  <w:lang w:bidi="ar"/>
                </w:rPr>
                <w:t>3.4 线上票据支付流水更新</w:t>
              </w:r>
              <w:r>
                <w:tab/>
              </w:r>
              <w:r>
                <w:fldChar w:fldCharType="begin"/>
              </w:r>
              <w:r>
                <w:instrText xml:space="preserve"> PAGEREF _Toc141513148 </w:instrText>
              </w:r>
              <w:r>
                <w:fldChar w:fldCharType="separate"/>
              </w:r>
              <w:r>
                <w:t>97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_Toc283000141 </w:instrText>
              </w:r>
              <w:r>
                <w:rPr>
                  <w:bCs/>
                  <w:lang w:val="zh-CN"/>
                </w:rPr>
                <w:fldChar w:fldCharType="separate"/>
              </w:r>
              <w:r>
                <w:rPr>
                  <w:rFonts w:hint="eastAsia" w:ascii="仿宋" w:hAnsi="仿宋" w:eastAsia="仿宋" w:cs="仿宋"/>
                  <w:bCs/>
                  <w:szCs w:val="32"/>
                  <w:lang w:bidi="ar"/>
                </w:rPr>
                <w:t>3.5 交易信息上传</w:t>
              </w:r>
              <w:r>
                <w:tab/>
              </w:r>
              <w:r>
                <w:rPr>
                  <w:rFonts w:hint="eastAsia"/>
                  <w:lang w:val="en-US" w:eastAsia="zh-CN"/>
                </w:rPr>
                <w:t>98</w:t>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_Toc198009032 </w:instrText>
              </w:r>
              <w:r>
                <w:rPr>
                  <w:bCs/>
                  <w:lang w:val="zh-CN"/>
                </w:rPr>
                <w:fldChar w:fldCharType="separate"/>
              </w:r>
              <w:r>
                <w:rPr>
                  <w:rFonts w:hint="eastAsia" w:ascii="仿宋" w:hAnsi="仿宋" w:eastAsia="仿宋" w:cs="仿宋"/>
                  <w:bCs/>
                  <w:kern w:val="44"/>
                  <w:szCs w:val="40"/>
                </w:rPr>
                <w:t>第四章 线上贴现</w:t>
              </w:r>
              <w:r>
                <w:tab/>
              </w:r>
              <w:r>
                <w:fldChar w:fldCharType="begin"/>
              </w:r>
              <w:r>
                <w:instrText xml:space="preserve"> PAGEREF _Toc198009032 </w:instrText>
              </w:r>
              <w:r>
                <w:fldChar w:fldCharType="separate"/>
              </w:r>
              <w:r>
                <w:t>99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_Toc397918001 </w:instrText>
              </w:r>
              <w:r>
                <w:rPr>
                  <w:bCs/>
                  <w:lang w:val="zh-CN"/>
                </w:rPr>
                <w:fldChar w:fldCharType="separate"/>
              </w:r>
              <w:r>
                <w:rPr>
                  <w:rFonts w:hint="eastAsia" w:ascii="仿宋" w:hAnsi="仿宋" w:eastAsia="仿宋" w:cs="仿宋"/>
                </w:rPr>
                <w:t>4.1 概述</w:t>
              </w:r>
              <w:r>
                <w:tab/>
              </w:r>
              <w:r>
                <w:fldChar w:fldCharType="begin"/>
              </w:r>
              <w:r>
                <w:instrText xml:space="preserve"> PAGEREF _Toc397918001 </w:instrText>
              </w:r>
              <w:r>
                <w:fldChar w:fldCharType="separate"/>
              </w:r>
              <w:r>
                <w:t>99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_Toc495853138 </w:instrText>
              </w:r>
              <w:r>
                <w:rPr>
                  <w:bCs/>
                  <w:lang w:val="zh-CN"/>
                </w:rPr>
                <w:fldChar w:fldCharType="separate"/>
              </w:r>
              <w:r>
                <w:rPr>
                  <w:rFonts w:hint="eastAsia" w:ascii="仿宋" w:hAnsi="仿宋" w:eastAsia="仿宋" w:cs="仿宋"/>
                </w:rPr>
                <w:t>4.2 贴现申请人信息登记</w:t>
              </w:r>
              <w:r>
                <w:tab/>
              </w:r>
              <w:r>
                <w:fldChar w:fldCharType="begin"/>
              </w:r>
              <w:r>
                <w:instrText xml:space="preserve"> PAGEREF _Toc495853138 </w:instrText>
              </w:r>
              <w:r>
                <w:fldChar w:fldCharType="separate"/>
              </w:r>
              <w:r>
                <w:t>99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_Toc2139786706 </w:instrText>
              </w:r>
              <w:r>
                <w:rPr>
                  <w:bCs/>
                  <w:lang w:val="zh-CN"/>
                </w:rPr>
                <w:fldChar w:fldCharType="separate"/>
              </w:r>
              <w:r>
                <w:rPr>
                  <w:rFonts w:hint="eastAsia" w:ascii="仿宋" w:hAnsi="仿宋" w:eastAsia="仿宋" w:cs="仿宋"/>
                </w:rPr>
                <w:t>4.3 企业签约</w:t>
              </w:r>
              <w:r>
                <w:tab/>
              </w:r>
              <w:r>
                <w:fldChar w:fldCharType="begin"/>
              </w:r>
              <w:r>
                <w:instrText xml:space="preserve"> PAGEREF _Toc2139786706 </w:instrText>
              </w:r>
              <w:r>
                <w:fldChar w:fldCharType="separate"/>
              </w:r>
              <w:r>
                <w:t>102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_Toc871752713 </w:instrText>
              </w:r>
              <w:r>
                <w:rPr>
                  <w:bCs/>
                  <w:lang w:val="zh-CN"/>
                </w:rPr>
                <w:fldChar w:fldCharType="separate"/>
              </w:r>
              <w:r>
                <w:rPr>
                  <w:rFonts w:hint="eastAsia" w:ascii="仿宋" w:hAnsi="仿宋" w:eastAsia="仿宋" w:cs="仿宋"/>
                </w:rPr>
                <w:t>4.3.1 签约需求登记</w:t>
              </w:r>
              <w:r>
                <w:tab/>
              </w:r>
              <w:r>
                <w:fldChar w:fldCharType="begin"/>
              </w:r>
              <w:r>
                <w:instrText xml:space="preserve"> PAGEREF _Toc871752713 </w:instrText>
              </w:r>
              <w:r>
                <w:fldChar w:fldCharType="separate"/>
              </w:r>
              <w:r>
                <w:t>102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_Toc1539516832 </w:instrText>
              </w:r>
              <w:r>
                <w:rPr>
                  <w:bCs/>
                  <w:lang w:val="zh-CN"/>
                </w:rPr>
                <w:fldChar w:fldCharType="separate"/>
              </w:r>
              <w:r>
                <w:rPr>
                  <w:rFonts w:hint="eastAsia" w:ascii="仿宋" w:hAnsi="仿宋" w:eastAsia="仿宋" w:cs="仿宋"/>
                </w:rPr>
                <w:t>4.3.2 签约</w:t>
              </w:r>
              <w:r>
                <w:tab/>
              </w:r>
              <w:r>
                <w:fldChar w:fldCharType="begin"/>
              </w:r>
              <w:r>
                <w:instrText xml:space="preserve"> PAGEREF _Toc1539516832 </w:instrText>
              </w:r>
              <w:r>
                <w:fldChar w:fldCharType="separate"/>
              </w:r>
              <w:r>
                <w:t>103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_Toc261280957 </w:instrText>
              </w:r>
              <w:r>
                <w:rPr>
                  <w:bCs/>
                  <w:lang w:val="zh-CN"/>
                </w:rPr>
                <w:fldChar w:fldCharType="separate"/>
              </w:r>
              <w:r>
                <w:rPr>
                  <w:rFonts w:hint="eastAsia" w:ascii="仿宋" w:hAnsi="仿宋" w:eastAsia="仿宋" w:cs="仿宋"/>
                </w:rPr>
                <w:t>4.4 委托信息登记</w:t>
              </w:r>
              <w:r>
                <w:tab/>
              </w:r>
              <w:r>
                <w:fldChar w:fldCharType="begin"/>
              </w:r>
              <w:r>
                <w:instrText xml:space="preserve"> PAGEREF _Toc261280957 </w:instrText>
              </w:r>
              <w:r>
                <w:fldChar w:fldCharType="separate"/>
              </w:r>
              <w:r>
                <w:t>105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_Toc1332574567 </w:instrText>
              </w:r>
              <w:r>
                <w:rPr>
                  <w:bCs/>
                  <w:lang w:val="zh-CN"/>
                </w:rPr>
                <w:fldChar w:fldCharType="separate"/>
              </w:r>
              <w:r>
                <w:rPr>
                  <w:rFonts w:hint="eastAsia" w:ascii="仿宋" w:hAnsi="仿宋" w:eastAsia="仿宋" w:cs="仿宋"/>
                </w:rPr>
                <w:t>4.5 询价</w:t>
              </w:r>
              <w:r>
                <w:tab/>
              </w:r>
              <w:r>
                <w:fldChar w:fldCharType="begin"/>
              </w:r>
              <w:r>
                <w:instrText xml:space="preserve"> PAGEREF _Toc1332574567 </w:instrText>
              </w:r>
              <w:r>
                <w:fldChar w:fldCharType="separate"/>
              </w:r>
              <w:r>
                <w:t>105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_Toc1569630698 </w:instrText>
              </w:r>
              <w:r>
                <w:rPr>
                  <w:bCs/>
                  <w:lang w:val="zh-CN"/>
                </w:rPr>
                <w:fldChar w:fldCharType="separate"/>
              </w:r>
              <w:r>
                <w:rPr>
                  <w:rFonts w:hint="eastAsia" w:ascii="仿宋" w:hAnsi="仿宋" w:eastAsia="仿宋" w:cs="仿宋"/>
                </w:rPr>
                <w:t>4.5.1 意向询价</w:t>
              </w:r>
              <w:r>
                <w:tab/>
              </w:r>
              <w:r>
                <w:fldChar w:fldCharType="begin"/>
              </w:r>
              <w:r>
                <w:instrText xml:space="preserve"> PAGEREF _Toc1569630698 </w:instrText>
              </w:r>
              <w:r>
                <w:fldChar w:fldCharType="separate"/>
              </w:r>
              <w:r>
                <w:t>109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_Toc1203478485 </w:instrText>
              </w:r>
              <w:r>
                <w:rPr>
                  <w:bCs/>
                  <w:lang w:val="zh-CN"/>
                </w:rPr>
                <w:fldChar w:fldCharType="separate"/>
              </w:r>
              <w:r>
                <w:rPr>
                  <w:rFonts w:hint="eastAsia" w:ascii="仿宋" w:hAnsi="仿宋" w:eastAsia="仿宋" w:cs="仿宋"/>
                </w:rPr>
                <w:t>4.5.2 挂牌询价</w:t>
              </w:r>
              <w:r>
                <w:tab/>
              </w:r>
              <w:r>
                <w:fldChar w:fldCharType="begin"/>
              </w:r>
              <w:r>
                <w:instrText xml:space="preserve"> PAGEREF _Toc1203478485 </w:instrText>
              </w:r>
              <w:r>
                <w:fldChar w:fldCharType="separate"/>
              </w:r>
              <w:r>
                <w:t>110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_Toc351324425 </w:instrText>
              </w:r>
              <w:r>
                <w:rPr>
                  <w:bCs/>
                  <w:lang w:val="zh-CN"/>
                </w:rPr>
                <w:fldChar w:fldCharType="separate"/>
              </w:r>
              <w:r>
                <w:rPr>
                  <w:rFonts w:hint="eastAsia" w:ascii="仿宋" w:hAnsi="仿宋" w:eastAsia="仿宋" w:cs="仿宋"/>
                </w:rPr>
                <w:t>4.5.3 对话报价</w:t>
              </w:r>
              <w:r>
                <w:tab/>
              </w:r>
              <w:r>
                <w:fldChar w:fldCharType="begin"/>
              </w:r>
              <w:r>
                <w:instrText xml:space="preserve"> PAGEREF _Toc351324425 </w:instrText>
              </w:r>
              <w:r>
                <w:fldChar w:fldCharType="separate"/>
              </w:r>
              <w:r>
                <w:t>111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_Toc1063915473 </w:instrText>
              </w:r>
              <w:r>
                <w:rPr>
                  <w:bCs/>
                  <w:lang w:val="zh-CN"/>
                </w:rPr>
                <w:fldChar w:fldCharType="separate"/>
              </w:r>
              <w:r>
                <w:rPr>
                  <w:rFonts w:hint="eastAsia" w:ascii="仿宋" w:hAnsi="仿宋" w:eastAsia="仿宋" w:cs="仿宋"/>
                </w:rPr>
                <w:t>4.6 成交后处理</w:t>
              </w:r>
              <w:r>
                <w:tab/>
              </w:r>
              <w:r>
                <w:fldChar w:fldCharType="begin"/>
              </w:r>
              <w:r>
                <w:instrText xml:space="preserve"> PAGEREF _Toc1063915473 </w:instrText>
              </w:r>
              <w:r>
                <w:fldChar w:fldCharType="separate"/>
              </w:r>
              <w:r>
                <w:t>112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_Toc1887759751 </w:instrText>
              </w:r>
              <w:r>
                <w:rPr>
                  <w:bCs/>
                  <w:lang w:val="zh-CN"/>
                </w:rPr>
                <w:fldChar w:fldCharType="separate"/>
              </w:r>
              <w:r>
                <w:rPr>
                  <w:rFonts w:hint="eastAsia" w:ascii="仿宋" w:hAnsi="仿宋" w:eastAsia="仿宋" w:cs="仿宋"/>
                  <w:szCs w:val="40"/>
                </w:rPr>
                <w:t>第五章 纸质商业汇票的信息登记、库存管理和电子化</w:t>
              </w:r>
              <w:r>
                <w:tab/>
              </w:r>
              <w:r>
                <w:fldChar w:fldCharType="begin"/>
              </w:r>
              <w:r>
                <w:instrText xml:space="preserve"> PAGEREF _Toc1887759751 </w:instrText>
              </w:r>
              <w:r>
                <w:fldChar w:fldCharType="separate"/>
              </w:r>
              <w:r>
                <w:t>114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_Toc765743096 </w:instrText>
              </w:r>
              <w:r>
                <w:rPr>
                  <w:bCs/>
                  <w:lang w:val="zh-CN"/>
                </w:rPr>
                <w:fldChar w:fldCharType="separate"/>
              </w:r>
              <w:r>
                <w:rPr>
                  <w:rFonts w:hint="eastAsia" w:ascii="仿宋" w:hAnsi="仿宋" w:eastAsia="仿宋" w:cs="仿宋"/>
                  <w:szCs w:val="32"/>
                </w:rPr>
                <w:t>5.1 信息登记</w:t>
              </w:r>
              <w:r>
                <w:tab/>
              </w:r>
              <w:r>
                <w:fldChar w:fldCharType="begin"/>
              </w:r>
              <w:r>
                <w:instrText xml:space="preserve"> PAGEREF _Toc765743096 </w:instrText>
              </w:r>
              <w:r>
                <w:fldChar w:fldCharType="separate"/>
              </w:r>
              <w:r>
                <w:t>114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_Toc1770081720 </w:instrText>
              </w:r>
              <w:r>
                <w:rPr>
                  <w:bCs/>
                  <w:lang w:val="zh-CN"/>
                </w:rPr>
                <w:fldChar w:fldCharType="separate"/>
              </w:r>
              <w:r>
                <w:rPr>
                  <w:rFonts w:hint="eastAsia" w:ascii="仿宋" w:hAnsi="仿宋" w:eastAsia="仿宋" w:cs="仿宋"/>
                  <w:szCs w:val="32"/>
                </w:rPr>
                <w:t>5.1.1 承兑信息登记</w:t>
              </w:r>
              <w:r>
                <w:tab/>
              </w:r>
              <w:r>
                <w:fldChar w:fldCharType="begin"/>
              </w:r>
              <w:r>
                <w:instrText xml:space="preserve"> PAGEREF _Toc1770081720 </w:instrText>
              </w:r>
              <w:r>
                <w:fldChar w:fldCharType="separate"/>
              </w:r>
              <w:r>
                <w:t>115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_Toc722208955 </w:instrText>
              </w:r>
              <w:r>
                <w:rPr>
                  <w:bCs/>
                  <w:lang w:val="zh-CN"/>
                </w:rPr>
                <w:fldChar w:fldCharType="separate"/>
              </w:r>
              <w:r>
                <w:rPr>
                  <w:rFonts w:hint="eastAsia" w:ascii="仿宋" w:hAnsi="仿宋" w:eastAsia="仿宋" w:cs="仿宋"/>
                  <w:szCs w:val="32"/>
                </w:rPr>
                <w:t>5.1.2 承兑保证信息登记</w:t>
              </w:r>
              <w:r>
                <w:tab/>
              </w:r>
              <w:r>
                <w:fldChar w:fldCharType="begin"/>
              </w:r>
              <w:r>
                <w:instrText xml:space="preserve"> PAGEREF _Toc722208955 </w:instrText>
              </w:r>
              <w:r>
                <w:fldChar w:fldCharType="separate"/>
              </w:r>
              <w:r>
                <w:t>117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_Toc1721725883 </w:instrText>
              </w:r>
              <w:r>
                <w:rPr>
                  <w:bCs/>
                  <w:lang w:val="zh-CN"/>
                </w:rPr>
                <w:fldChar w:fldCharType="separate"/>
              </w:r>
              <w:r>
                <w:rPr>
                  <w:rFonts w:hint="eastAsia" w:ascii="仿宋" w:hAnsi="仿宋" w:eastAsia="仿宋" w:cs="仿宋"/>
                  <w:szCs w:val="32"/>
                </w:rPr>
                <w:t>5.1.3 质押及质押解除信息登记</w:t>
              </w:r>
              <w:r>
                <w:tab/>
              </w:r>
              <w:r>
                <w:fldChar w:fldCharType="begin"/>
              </w:r>
              <w:r>
                <w:instrText xml:space="preserve"> PAGEREF _Toc1721725883 </w:instrText>
              </w:r>
              <w:r>
                <w:fldChar w:fldCharType="separate"/>
              </w:r>
              <w:r>
                <w:t>118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_Toc803959756 </w:instrText>
              </w:r>
              <w:r>
                <w:rPr>
                  <w:bCs/>
                  <w:lang w:val="zh-CN"/>
                </w:rPr>
                <w:fldChar w:fldCharType="separate"/>
              </w:r>
              <w:r>
                <w:rPr>
                  <w:rFonts w:hint="eastAsia" w:ascii="仿宋" w:hAnsi="仿宋" w:eastAsia="仿宋" w:cs="仿宋"/>
                  <w:szCs w:val="32"/>
                </w:rPr>
                <w:t>5.1.4 贴现信息登记</w:t>
              </w:r>
              <w:r>
                <w:tab/>
              </w:r>
              <w:r>
                <w:fldChar w:fldCharType="begin"/>
              </w:r>
              <w:r>
                <w:instrText xml:space="preserve"> PAGEREF _Toc803959756 </w:instrText>
              </w:r>
              <w:r>
                <w:fldChar w:fldCharType="separate"/>
              </w:r>
              <w:r>
                <w:t>121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_Toc863440389 </w:instrText>
              </w:r>
              <w:r>
                <w:rPr>
                  <w:bCs/>
                  <w:lang w:val="zh-CN"/>
                </w:rPr>
                <w:fldChar w:fldCharType="separate"/>
              </w:r>
              <w:r>
                <w:rPr>
                  <w:rFonts w:hint="eastAsia" w:ascii="仿宋" w:hAnsi="仿宋" w:eastAsia="仿宋" w:cs="仿宋"/>
                  <w:szCs w:val="32"/>
                </w:rPr>
                <w:t>5</w:t>
              </w:r>
              <w:r>
                <w:rPr>
                  <w:rFonts w:ascii="仿宋" w:hAnsi="仿宋" w:eastAsia="仿宋" w:cs="仿宋"/>
                  <w:szCs w:val="32"/>
                </w:rPr>
                <w:t>.1.5 结清信息登记</w:t>
              </w:r>
              <w:r>
                <w:tab/>
              </w:r>
              <w:r>
                <w:fldChar w:fldCharType="begin"/>
              </w:r>
              <w:r>
                <w:instrText xml:space="preserve"> PAGEREF _Toc863440389 </w:instrText>
              </w:r>
              <w:r>
                <w:fldChar w:fldCharType="separate"/>
              </w:r>
              <w:r>
                <w:t>123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_Toc2113318271 </w:instrText>
              </w:r>
              <w:r>
                <w:rPr>
                  <w:bCs/>
                  <w:lang w:val="zh-CN"/>
                </w:rPr>
                <w:fldChar w:fldCharType="separate"/>
              </w:r>
              <w:r>
                <w:rPr>
                  <w:rFonts w:hint="eastAsia" w:ascii="仿宋" w:hAnsi="仿宋" w:eastAsia="仿宋" w:cs="仿宋"/>
                  <w:szCs w:val="32"/>
                </w:rPr>
                <w:t>5.1.6 线下追偿的发起登记</w:t>
              </w:r>
              <w:r>
                <w:tab/>
              </w:r>
              <w:r>
                <w:fldChar w:fldCharType="begin"/>
              </w:r>
              <w:r>
                <w:instrText xml:space="preserve"> PAGEREF _Toc2113318271 </w:instrText>
              </w:r>
              <w:r>
                <w:fldChar w:fldCharType="separate"/>
              </w:r>
              <w:r>
                <w:t>125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_Toc2104125415 </w:instrText>
              </w:r>
              <w:r>
                <w:rPr>
                  <w:bCs/>
                  <w:lang w:val="zh-CN"/>
                </w:rPr>
                <w:fldChar w:fldCharType="separate"/>
              </w:r>
              <w:r>
                <w:rPr>
                  <w:rFonts w:hint="eastAsia" w:ascii="仿宋" w:hAnsi="仿宋" w:eastAsia="仿宋" w:cs="仿宋"/>
                  <w:szCs w:val="32"/>
                </w:rPr>
                <w:t>5.1.7 线下追偿的偿付登记</w:t>
              </w:r>
              <w:r>
                <w:tab/>
              </w:r>
              <w:r>
                <w:fldChar w:fldCharType="begin"/>
              </w:r>
              <w:r>
                <w:instrText xml:space="preserve"> PAGEREF _Toc2104125415 </w:instrText>
              </w:r>
              <w:r>
                <w:fldChar w:fldCharType="separate"/>
              </w:r>
              <w:r>
                <w:t>126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_Toc899255583 </w:instrText>
              </w:r>
              <w:r>
                <w:rPr>
                  <w:bCs/>
                  <w:lang w:val="zh-CN"/>
                </w:rPr>
                <w:fldChar w:fldCharType="separate"/>
              </w:r>
              <w:r>
                <w:rPr>
                  <w:rFonts w:hint="eastAsia" w:ascii="仿宋" w:hAnsi="仿宋" w:eastAsia="仿宋" w:cs="仿宋"/>
                  <w:szCs w:val="32"/>
                </w:rPr>
                <w:t>5.1.8 追偿结清登记</w:t>
              </w:r>
              <w:r>
                <w:tab/>
              </w:r>
              <w:r>
                <w:fldChar w:fldCharType="begin"/>
              </w:r>
              <w:r>
                <w:instrText xml:space="preserve"> PAGEREF _Toc899255583 </w:instrText>
              </w:r>
              <w:r>
                <w:fldChar w:fldCharType="separate"/>
              </w:r>
              <w:r>
                <w:t>127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_Toc823841621 </w:instrText>
              </w:r>
              <w:r>
                <w:rPr>
                  <w:bCs/>
                  <w:lang w:val="zh-CN"/>
                </w:rPr>
                <w:fldChar w:fldCharType="separate"/>
              </w:r>
              <w:r>
                <w:rPr>
                  <w:rFonts w:hint="eastAsia" w:ascii="仿宋" w:hAnsi="仿宋" w:eastAsia="仿宋" w:cs="仿宋"/>
                  <w:szCs w:val="32"/>
                </w:rPr>
                <w:t>5.1.9 止付及止付解除信息登记</w:t>
              </w:r>
              <w:r>
                <w:tab/>
              </w:r>
              <w:r>
                <w:fldChar w:fldCharType="begin"/>
              </w:r>
              <w:r>
                <w:instrText xml:space="preserve"> PAGEREF _Toc823841621 </w:instrText>
              </w:r>
              <w:r>
                <w:fldChar w:fldCharType="separate"/>
              </w:r>
              <w:r>
                <w:t>128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_Toc259524735 </w:instrText>
              </w:r>
              <w:r>
                <w:rPr>
                  <w:bCs/>
                  <w:lang w:val="zh-CN"/>
                </w:rPr>
                <w:fldChar w:fldCharType="separate"/>
              </w:r>
              <w:r>
                <w:rPr>
                  <w:rFonts w:hint="eastAsia" w:ascii="仿宋" w:hAnsi="仿宋" w:eastAsia="仿宋" w:cs="仿宋"/>
                  <w:szCs w:val="32"/>
                </w:rPr>
                <w:t>5.2 登记信息的撤回</w:t>
              </w:r>
              <w:r>
                <w:tab/>
              </w:r>
              <w:r>
                <w:fldChar w:fldCharType="begin"/>
              </w:r>
              <w:r>
                <w:instrText xml:space="preserve"> PAGEREF _Toc259524735 </w:instrText>
              </w:r>
              <w:r>
                <w:fldChar w:fldCharType="separate"/>
              </w:r>
              <w:r>
                <w:t>133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_Toc1775968205 </w:instrText>
              </w:r>
              <w:r>
                <w:rPr>
                  <w:bCs/>
                  <w:lang w:val="zh-CN"/>
                </w:rPr>
                <w:fldChar w:fldCharType="separate"/>
              </w:r>
              <w:r>
                <w:rPr>
                  <w:rFonts w:hint="eastAsia" w:ascii="仿宋" w:hAnsi="仿宋" w:eastAsia="仿宋" w:cs="仿宋"/>
                  <w:szCs w:val="32"/>
                </w:rPr>
                <w:t>5.3 纸票登记信息查询</w:t>
              </w:r>
              <w:r>
                <w:tab/>
              </w:r>
              <w:r>
                <w:fldChar w:fldCharType="begin"/>
              </w:r>
              <w:r>
                <w:instrText xml:space="preserve"> PAGEREF _Toc1775968205 </w:instrText>
              </w:r>
              <w:r>
                <w:fldChar w:fldCharType="separate"/>
              </w:r>
              <w:r>
                <w:t>135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_Toc1347483606 </w:instrText>
              </w:r>
              <w:r>
                <w:rPr>
                  <w:bCs/>
                  <w:lang w:val="zh-CN"/>
                </w:rPr>
                <w:fldChar w:fldCharType="separate"/>
              </w:r>
              <w:r>
                <w:rPr>
                  <w:rFonts w:hint="eastAsia" w:ascii="仿宋" w:hAnsi="仿宋" w:eastAsia="仿宋" w:cs="楷体"/>
                  <w:szCs w:val="32"/>
                </w:rPr>
                <w:t>5.4 纸票的付款确认</w:t>
              </w:r>
              <w:r>
                <w:tab/>
              </w:r>
              <w:r>
                <w:fldChar w:fldCharType="begin"/>
              </w:r>
              <w:r>
                <w:instrText xml:space="preserve"> PAGEREF _Toc1347483606 </w:instrText>
              </w:r>
              <w:r>
                <w:fldChar w:fldCharType="separate"/>
              </w:r>
              <w:r>
                <w:t>136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_Toc2030562203 </w:instrText>
              </w:r>
              <w:r>
                <w:rPr>
                  <w:bCs/>
                  <w:lang w:val="zh-CN"/>
                </w:rPr>
                <w:fldChar w:fldCharType="separate"/>
              </w:r>
              <w:r>
                <w:rPr>
                  <w:rFonts w:hint="eastAsia" w:ascii="仿宋" w:hAnsi="仿宋" w:eastAsia="仿宋" w:cs="仿宋"/>
                  <w:szCs w:val="32"/>
                </w:rPr>
                <w:t>5.5 纸票的库存变更</w:t>
              </w:r>
              <w:r>
                <w:tab/>
              </w:r>
              <w:r>
                <w:fldChar w:fldCharType="begin"/>
              </w:r>
              <w:r>
                <w:instrText xml:space="preserve"> PAGEREF _Toc2030562203 </w:instrText>
              </w:r>
              <w:r>
                <w:fldChar w:fldCharType="separate"/>
              </w:r>
              <w:r>
                <w:t>140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_Toc39119056 </w:instrText>
              </w:r>
              <w:r>
                <w:rPr>
                  <w:bCs/>
                  <w:lang w:val="zh-CN"/>
                </w:rPr>
                <w:fldChar w:fldCharType="separate"/>
              </w:r>
              <w:r>
                <w:rPr>
                  <w:rFonts w:hint="eastAsia" w:ascii="仿宋" w:hAnsi="仿宋" w:eastAsia="仿宋" w:cs="仿宋"/>
                  <w:szCs w:val="32"/>
                </w:rPr>
                <w:t>5.5.1 库存变更申请</w:t>
              </w:r>
              <w:r>
                <w:tab/>
              </w:r>
              <w:r>
                <w:fldChar w:fldCharType="begin"/>
              </w:r>
              <w:r>
                <w:instrText xml:space="preserve"> PAGEREF _Toc39119056 </w:instrText>
              </w:r>
              <w:r>
                <w:fldChar w:fldCharType="separate"/>
              </w:r>
              <w:r>
                <w:t>140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_Toc2088606284 </w:instrText>
              </w:r>
              <w:r>
                <w:rPr>
                  <w:bCs/>
                  <w:lang w:val="zh-CN"/>
                </w:rPr>
                <w:fldChar w:fldCharType="separate"/>
              </w:r>
              <w:r>
                <w:rPr>
                  <w:rFonts w:hint="eastAsia" w:ascii="仿宋" w:hAnsi="仿宋" w:eastAsia="仿宋" w:cs="仿宋"/>
                  <w:szCs w:val="32"/>
                </w:rPr>
                <w:t>5.5.2 库存退票申请</w:t>
              </w:r>
              <w:r>
                <w:tab/>
              </w:r>
              <w:r>
                <w:fldChar w:fldCharType="begin"/>
              </w:r>
              <w:r>
                <w:instrText xml:space="preserve"> PAGEREF _Toc2088606284 </w:instrText>
              </w:r>
              <w:r>
                <w:fldChar w:fldCharType="separate"/>
              </w:r>
              <w:r>
                <w:t>142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_Toc24591703 </w:instrText>
              </w:r>
              <w:r>
                <w:rPr>
                  <w:bCs/>
                  <w:lang w:val="zh-CN"/>
                </w:rPr>
                <w:fldChar w:fldCharType="separate"/>
              </w:r>
              <w:r>
                <w:rPr>
                  <w:rFonts w:hint="eastAsia" w:ascii="仿宋" w:hAnsi="仿宋" w:eastAsia="仿宋" w:cs="仿宋"/>
                  <w:szCs w:val="32"/>
                </w:rPr>
                <w:t>5.6 纸票的保证增信</w:t>
              </w:r>
              <w:r>
                <w:tab/>
              </w:r>
              <w:r>
                <w:fldChar w:fldCharType="begin"/>
              </w:r>
              <w:r>
                <w:instrText xml:space="preserve"> PAGEREF _Toc24591703 </w:instrText>
              </w:r>
              <w:r>
                <w:fldChar w:fldCharType="separate"/>
              </w:r>
              <w:r>
                <w:t>144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_Toc322119197 </w:instrText>
              </w:r>
              <w:r>
                <w:rPr>
                  <w:bCs/>
                  <w:lang w:val="zh-CN"/>
                </w:rPr>
                <w:fldChar w:fldCharType="separate"/>
              </w:r>
              <w:r>
                <w:rPr>
                  <w:rFonts w:hint="eastAsia" w:ascii="仿宋" w:hAnsi="仿宋" w:eastAsia="仿宋" w:cs="仿宋"/>
                  <w:szCs w:val="32"/>
                </w:rPr>
                <w:t>5.7 纸票的权属初始登记</w:t>
              </w:r>
              <w:r>
                <w:tab/>
              </w:r>
              <w:r>
                <w:fldChar w:fldCharType="begin"/>
              </w:r>
              <w:r>
                <w:instrText xml:space="preserve"> PAGEREF _Toc322119197 </w:instrText>
              </w:r>
              <w:r>
                <w:fldChar w:fldCharType="separate"/>
              </w:r>
              <w:r>
                <w:t>146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_Toc139131668 </w:instrText>
              </w:r>
              <w:r>
                <w:rPr>
                  <w:bCs/>
                  <w:lang w:val="zh-CN"/>
                </w:rPr>
                <w:fldChar w:fldCharType="separate"/>
              </w:r>
              <w:r>
                <w:rPr>
                  <w:rFonts w:hint="eastAsia" w:ascii="仿宋" w:hAnsi="仿宋" w:eastAsia="仿宋" w:cs="仿宋"/>
                  <w:bCs/>
                  <w:kern w:val="44"/>
                  <w:szCs w:val="40"/>
                </w:rPr>
                <w:t>第六章 票据的交易和再贴现</w:t>
              </w:r>
              <w:r>
                <w:tab/>
              </w:r>
              <w:r>
                <w:fldChar w:fldCharType="begin"/>
              </w:r>
              <w:r>
                <w:instrText xml:space="preserve"> PAGEREF _Toc139131668 </w:instrText>
              </w:r>
              <w:r>
                <w:fldChar w:fldCharType="separate"/>
              </w:r>
              <w:r>
                <w:t>147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_Toc422509704 </w:instrText>
              </w:r>
              <w:r>
                <w:rPr>
                  <w:bCs/>
                  <w:lang w:val="zh-CN"/>
                </w:rPr>
                <w:fldChar w:fldCharType="separate"/>
              </w:r>
              <w:r>
                <w:rPr>
                  <w:rFonts w:hint="eastAsia" w:ascii="仿宋" w:hAnsi="仿宋" w:eastAsia="仿宋" w:cs="仿宋"/>
                  <w:szCs w:val="32"/>
                </w:rPr>
                <w:t>6.1 交易前准备</w:t>
              </w:r>
              <w:r>
                <w:tab/>
              </w:r>
              <w:r>
                <w:fldChar w:fldCharType="begin"/>
              </w:r>
              <w:r>
                <w:instrText xml:space="preserve"> PAGEREF _Toc422509704 </w:instrText>
              </w:r>
              <w:r>
                <w:fldChar w:fldCharType="separate"/>
              </w:r>
              <w:r>
                <w:t>147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_Toc817972335 </w:instrText>
              </w:r>
              <w:r>
                <w:rPr>
                  <w:bCs/>
                  <w:lang w:val="zh-CN"/>
                </w:rPr>
                <w:fldChar w:fldCharType="separate"/>
              </w:r>
              <w:r>
                <w:rPr>
                  <w:rFonts w:hint="eastAsia" w:ascii="仿宋" w:hAnsi="仿宋" w:eastAsia="仿宋" w:cs="仿宋"/>
                  <w:szCs w:val="32"/>
                </w:rPr>
                <w:t>6.2 票据交易</w:t>
              </w:r>
              <w:r>
                <w:tab/>
              </w:r>
              <w:r>
                <w:fldChar w:fldCharType="begin"/>
              </w:r>
              <w:r>
                <w:instrText xml:space="preserve"> PAGEREF _Toc817972335 </w:instrText>
              </w:r>
              <w:r>
                <w:fldChar w:fldCharType="separate"/>
              </w:r>
              <w:r>
                <w:t>147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_Toc131434726 </w:instrText>
              </w:r>
              <w:r>
                <w:rPr>
                  <w:bCs/>
                  <w:lang w:val="zh-CN"/>
                </w:rPr>
                <w:fldChar w:fldCharType="separate"/>
              </w:r>
              <w:r>
                <w:rPr>
                  <w:rFonts w:hint="eastAsia" w:ascii="仿宋" w:hAnsi="仿宋" w:eastAsia="仿宋" w:cs="仿宋"/>
                  <w:bCs/>
                  <w:szCs w:val="32"/>
                </w:rPr>
                <w:t>6.2.1 业务概述</w:t>
              </w:r>
              <w:r>
                <w:tab/>
              </w:r>
              <w:r>
                <w:fldChar w:fldCharType="begin"/>
              </w:r>
              <w:r>
                <w:instrText xml:space="preserve"> PAGEREF _Toc131434726 </w:instrText>
              </w:r>
              <w:r>
                <w:fldChar w:fldCharType="separate"/>
              </w:r>
              <w:r>
                <w:t>147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_Toc1294262417 </w:instrText>
              </w:r>
              <w:r>
                <w:rPr>
                  <w:bCs/>
                  <w:lang w:val="zh-CN"/>
                </w:rPr>
                <w:fldChar w:fldCharType="separate"/>
              </w:r>
              <w:r>
                <w:rPr>
                  <w:rFonts w:hint="eastAsia" w:ascii="仿宋" w:hAnsi="仿宋" w:eastAsia="仿宋" w:cs="仿宋"/>
                  <w:bCs/>
                  <w:szCs w:val="32"/>
                </w:rPr>
                <w:t>6.2.2 一般规定</w:t>
              </w:r>
              <w:r>
                <w:tab/>
              </w:r>
              <w:r>
                <w:fldChar w:fldCharType="begin"/>
              </w:r>
              <w:r>
                <w:instrText xml:space="preserve"> PAGEREF _Toc1294262417 </w:instrText>
              </w:r>
              <w:r>
                <w:fldChar w:fldCharType="separate"/>
              </w:r>
              <w:r>
                <w:t>148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_Toc210005520 </w:instrText>
              </w:r>
              <w:r>
                <w:rPr>
                  <w:bCs/>
                  <w:lang w:val="zh-CN"/>
                </w:rPr>
                <w:fldChar w:fldCharType="separate"/>
              </w:r>
              <w:r>
                <w:rPr>
                  <w:rFonts w:hint="eastAsia" w:ascii="仿宋" w:hAnsi="仿宋" w:eastAsia="仿宋" w:cs="仿宋"/>
                  <w:bCs/>
                  <w:szCs w:val="32"/>
                </w:rPr>
                <w:t>6.2.3 票据挑选</w:t>
              </w:r>
              <w:r>
                <w:tab/>
              </w:r>
              <w:r>
                <w:fldChar w:fldCharType="begin"/>
              </w:r>
              <w:r>
                <w:instrText xml:space="preserve"> PAGEREF _Toc210005520 </w:instrText>
              </w:r>
              <w:r>
                <w:fldChar w:fldCharType="separate"/>
              </w:r>
              <w:r>
                <w:t>149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_Toc392715684 </w:instrText>
              </w:r>
              <w:r>
                <w:rPr>
                  <w:bCs/>
                  <w:lang w:val="zh-CN"/>
                </w:rPr>
                <w:fldChar w:fldCharType="separate"/>
              </w:r>
              <w:r>
                <w:rPr>
                  <w:rFonts w:hint="eastAsia" w:ascii="仿宋" w:hAnsi="仿宋" w:eastAsia="仿宋" w:cs="仿宋"/>
                  <w:bCs/>
                  <w:szCs w:val="32"/>
                </w:rPr>
                <w:t>6.2.4 交易方式</w:t>
              </w:r>
              <w:r>
                <w:tab/>
              </w:r>
              <w:r>
                <w:fldChar w:fldCharType="begin"/>
              </w:r>
              <w:r>
                <w:instrText xml:space="preserve"> PAGEREF _Toc392715684 </w:instrText>
              </w:r>
              <w:r>
                <w:fldChar w:fldCharType="separate"/>
              </w:r>
              <w:r>
                <w:t>149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_Toc479353337 </w:instrText>
              </w:r>
              <w:r>
                <w:rPr>
                  <w:bCs/>
                  <w:lang w:val="zh-CN"/>
                </w:rPr>
                <w:fldChar w:fldCharType="separate"/>
              </w:r>
              <w:r>
                <w:rPr>
                  <w:rFonts w:ascii="仿宋" w:hAnsi="仿宋" w:eastAsia="仿宋" w:cs="仿宋"/>
                  <w:bCs/>
                  <w:szCs w:val="32"/>
                </w:rPr>
                <w:t>6.</w:t>
              </w:r>
              <w:r>
                <w:rPr>
                  <w:rFonts w:hint="eastAsia" w:ascii="仿宋" w:hAnsi="仿宋" w:eastAsia="仿宋" w:cs="仿宋"/>
                  <w:bCs/>
                  <w:szCs w:val="32"/>
                </w:rPr>
                <w:t>2</w:t>
              </w:r>
              <w:r>
                <w:rPr>
                  <w:rFonts w:ascii="仿宋" w:hAnsi="仿宋" w:eastAsia="仿宋" w:cs="仿宋"/>
                  <w:bCs/>
                  <w:szCs w:val="32"/>
                </w:rPr>
                <w:t>.</w:t>
              </w:r>
              <w:r>
                <w:rPr>
                  <w:rFonts w:hint="eastAsia" w:ascii="仿宋" w:hAnsi="仿宋" w:eastAsia="仿宋" w:cs="仿宋"/>
                  <w:bCs/>
                  <w:szCs w:val="32"/>
                </w:rPr>
                <w:t>5</w:t>
              </w:r>
              <w:r>
                <w:rPr>
                  <w:rFonts w:ascii="仿宋" w:hAnsi="仿宋" w:eastAsia="仿宋" w:cs="仿宋"/>
                  <w:bCs/>
                  <w:szCs w:val="32"/>
                </w:rPr>
                <w:t xml:space="preserve"> </w:t>
              </w:r>
              <w:r>
                <w:rPr>
                  <w:rFonts w:hint="eastAsia" w:ascii="仿宋" w:hAnsi="仿宋" w:eastAsia="仿宋" w:cs="仿宋"/>
                  <w:bCs/>
                  <w:szCs w:val="32"/>
                </w:rPr>
                <w:t>成交单</w:t>
              </w:r>
              <w:r>
                <w:tab/>
              </w:r>
              <w:r>
                <w:fldChar w:fldCharType="begin"/>
              </w:r>
              <w:r>
                <w:instrText xml:space="preserve"> PAGEREF _Toc479353337 </w:instrText>
              </w:r>
              <w:r>
                <w:fldChar w:fldCharType="separate"/>
              </w:r>
              <w:r>
                <w:t>152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_Toc1779636218 </w:instrText>
              </w:r>
              <w:r>
                <w:rPr>
                  <w:bCs/>
                  <w:lang w:val="zh-CN"/>
                </w:rPr>
                <w:fldChar w:fldCharType="separate"/>
              </w:r>
              <w:r>
                <w:rPr>
                  <w:rFonts w:hint="eastAsia" w:ascii="仿宋" w:hAnsi="仿宋" w:eastAsia="仿宋" w:cs="仿宋"/>
                  <w:bCs/>
                  <w:szCs w:val="32"/>
                </w:rPr>
                <w:t>6.2.6 交易辅助</w:t>
              </w:r>
              <w:r>
                <w:tab/>
              </w:r>
              <w:r>
                <w:fldChar w:fldCharType="begin"/>
              </w:r>
              <w:r>
                <w:instrText xml:space="preserve"> PAGEREF _Toc1779636218 </w:instrText>
              </w:r>
              <w:r>
                <w:fldChar w:fldCharType="separate"/>
              </w:r>
              <w:r>
                <w:t>154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_Toc1596194169 </w:instrText>
              </w:r>
              <w:r>
                <w:rPr>
                  <w:bCs/>
                  <w:lang w:val="zh-CN"/>
                </w:rPr>
                <w:fldChar w:fldCharType="separate"/>
              </w:r>
              <w:r>
                <w:rPr>
                  <w:rFonts w:hint="eastAsia" w:ascii="仿宋" w:hAnsi="仿宋" w:eastAsia="仿宋" w:cs="仿宋"/>
                  <w:szCs w:val="32"/>
                </w:rPr>
                <w:t>6.3 交易后处理</w:t>
              </w:r>
              <w:r>
                <w:tab/>
              </w:r>
              <w:r>
                <w:fldChar w:fldCharType="begin"/>
              </w:r>
              <w:r>
                <w:instrText xml:space="preserve"> PAGEREF _Toc1596194169 </w:instrText>
              </w:r>
              <w:r>
                <w:fldChar w:fldCharType="separate"/>
              </w:r>
              <w:r>
                <w:t>155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_Toc830677762 </w:instrText>
              </w:r>
              <w:r>
                <w:rPr>
                  <w:bCs/>
                  <w:lang w:val="zh-CN"/>
                </w:rPr>
                <w:fldChar w:fldCharType="separate"/>
              </w:r>
              <w:r>
                <w:rPr>
                  <w:rFonts w:hint="eastAsia" w:ascii="仿宋" w:hAnsi="仿宋" w:eastAsia="仿宋" w:cs="仿宋"/>
                  <w:bCs/>
                  <w:szCs w:val="32"/>
                </w:rPr>
                <w:t>6.3.1 交易的结算</w:t>
              </w:r>
              <w:r>
                <w:tab/>
              </w:r>
              <w:r>
                <w:fldChar w:fldCharType="begin"/>
              </w:r>
              <w:r>
                <w:instrText xml:space="preserve"> PAGEREF _Toc830677762 </w:instrText>
              </w:r>
              <w:r>
                <w:fldChar w:fldCharType="separate"/>
              </w:r>
              <w:r>
                <w:t>155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_Toc696068043 </w:instrText>
              </w:r>
              <w:r>
                <w:rPr>
                  <w:bCs/>
                  <w:lang w:val="zh-CN"/>
                </w:rPr>
                <w:fldChar w:fldCharType="separate"/>
              </w:r>
              <w:r>
                <w:rPr>
                  <w:rFonts w:hint="eastAsia" w:ascii="仿宋" w:hAnsi="仿宋" w:eastAsia="仿宋" w:cs="仿宋"/>
                  <w:bCs/>
                  <w:szCs w:val="32"/>
                </w:rPr>
                <w:t>6.3.2 回购特殊场景处理</w:t>
              </w:r>
              <w:r>
                <w:tab/>
              </w:r>
              <w:r>
                <w:fldChar w:fldCharType="begin"/>
              </w:r>
              <w:r>
                <w:instrText xml:space="preserve"> PAGEREF _Toc696068043 </w:instrText>
              </w:r>
              <w:r>
                <w:fldChar w:fldCharType="separate"/>
              </w:r>
              <w:r>
                <w:t>155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_Toc1336470272 </w:instrText>
              </w:r>
              <w:r>
                <w:rPr>
                  <w:bCs/>
                  <w:lang w:val="zh-CN"/>
                </w:rPr>
                <w:fldChar w:fldCharType="separate"/>
              </w:r>
              <w:r>
                <w:rPr>
                  <w:rFonts w:hint="eastAsia" w:ascii="仿宋" w:hAnsi="仿宋" w:eastAsia="仿宋" w:cs="仿宋"/>
                </w:rPr>
                <w:t>6.4 质押式回购特殊场景处理</w:t>
              </w:r>
              <w:r>
                <w:tab/>
              </w:r>
              <w:r>
                <w:fldChar w:fldCharType="begin"/>
              </w:r>
              <w:r>
                <w:instrText xml:space="preserve"> PAGEREF _Toc1336470272 </w:instrText>
              </w:r>
              <w:r>
                <w:fldChar w:fldCharType="separate"/>
              </w:r>
              <w:r>
                <w:t>156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_Toc1596420858 </w:instrText>
              </w:r>
              <w:r>
                <w:rPr>
                  <w:bCs/>
                  <w:lang w:val="zh-CN"/>
                </w:rPr>
                <w:fldChar w:fldCharType="separate"/>
              </w:r>
              <w:r>
                <w:rPr>
                  <w:rFonts w:hint="eastAsia" w:ascii="仿宋" w:hAnsi="仿宋" w:eastAsia="仿宋" w:cs="仿宋"/>
                  <w:szCs w:val="32"/>
                </w:rPr>
                <w:t>6.5 再贴现（质押式回购）</w:t>
              </w:r>
              <w:r>
                <w:tab/>
              </w:r>
              <w:r>
                <w:fldChar w:fldCharType="begin"/>
              </w:r>
              <w:r>
                <w:instrText xml:space="preserve"> PAGEREF _Toc1596420858 </w:instrText>
              </w:r>
              <w:r>
                <w:fldChar w:fldCharType="separate"/>
              </w:r>
              <w:r>
                <w:t>158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_Toc318666115 </w:instrText>
              </w:r>
              <w:r>
                <w:rPr>
                  <w:bCs/>
                  <w:lang w:val="zh-CN"/>
                </w:rPr>
                <w:fldChar w:fldCharType="separate"/>
              </w:r>
              <w:r>
                <w:rPr>
                  <w:rFonts w:hint="eastAsia" w:ascii="仿宋" w:hAnsi="仿宋" w:eastAsia="仿宋" w:cs="仿宋"/>
                  <w:bCs/>
                  <w:szCs w:val="32"/>
                </w:rPr>
                <w:t>6.5.1 业务规则</w:t>
              </w:r>
              <w:r>
                <w:tab/>
              </w:r>
              <w:r>
                <w:fldChar w:fldCharType="begin"/>
              </w:r>
              <w:r>
                <w:instrText xml:space="preserve"> PAGEREF _Toc318666115 </w:instrText>
              </w:r>
              <w:r>
                <w:fldChar w:fldCharType="separate"/>
              </w:r>
              <w:r>
                <w:t>159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_Toc2058679228 </w:instrText>
              </w:r>
              <w:r>
                <w:rPr>
                  <w:bCs/>
                  <w:lang w:val="zh-CN"/>
                </w:rPr>
                <w:fldChar w:fldCharType="separate"/>
              </w:r>
              <w:r>
                <w:rPr>
                  <w:rFonts w:hint="eastAsia" w:ascii="仿宋" w:hAnsi="仿宋" w:eastAsia="仿宋" w:cs="仿宋"/>
                  <w:bCs/>
                  <w:szCs w:val="32"/>
                </w:rPr>
                <w:t xml:space="preserve">6.5.2 </w:t>
              </w:r>
              <w:r>
                <w:rPr>
                  <w:rFonts w:hint="eastAsia" w:ascii="仿宋" w:hAnsi="仿宋" w:eastAsia="仿宋" w:cs="仿宋"/>
                  <w:szCs w:val="32"/>
                </w:rPr>
                <w:t>再贴现首期</w:t>
              </w:r>
              <w:r>
                <w:tab/>
              </w:r>
              <w:r>
                <w:fldChar w:fldCharType="begin"/>
              </w:r>
              <w:r>
                <w:instrText xml:space="preserve"> PAGEREF _Toc2058679228 </w:instrText>
              </w:r>
              <w:r>
                <w:fldChar w:fldCharType="separate"/>
              </w:r>
              <w:r>
                <w:t>160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_Toc1170663093 </w:instrText>
              </w:r>
              <w:r>
                <w:rPr>
                  <w:bCs/>
                  <w:lang w:val="zh-CN"/>
                </w:rPr>
                <w:fldChar w:fldCharType="separate"/>
              </w:r>
              <w:r>
                <w:rPr>
                  <w:rFonts w:hint="eastAsia" w:ascii="仿宋" w:hAnsi="仿宋" w:eastAsia="仿宋" w:cs="仿宋"/>
                  <w:szCs w:val="32"/>
                </w:rPr>
                <w:t>6.5.3 再贴现到期</w:t>
              </w:r>
              <w:r>
                <w:tab/>
              </w:r>
              <w:r>
                <w:fldChar w:fldCharType="begin"/>
              </w:r>
              <w:r>
                <w:instrText xml:space="preserve"> PAGEREF _Toc1170663093 </w:instrText>
              </w:r>
              <w:r>
                <w:fldChar w:fldCharType="separate"/>
              </w:r>
              <w:r>
                <w:t>161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_Toc1122625872 </w:instrText>
              </w:r>
              <w:r>
                <w:rPr>
                  <w:bCs/>
                  <w:lang w:val="zh-CN"/>
                </w:rPr>
                <w:fldChar w:fldCharType="separate"/>
              </w:r>
              <w:r>
                <w:rPr>
                  <w:rFonts w:hint="eastAsia" w:ascii="仿宋" w:hAnsi="仿宋" w:eastAsia="仿宋" w:cs="仿宋"/>
                  <w:szCs w:val="32"/>
                </w:rPr>
                <w:t>6.5.4 提前和逾期赎回</w:t>
              </w:r>
              <w:r>
                <w:tab/>
              </w:r>
              <w:r>
                <w:fldChar w:fldCharType="begin"/>
              </w:r>
              <w:r>
                <w:instrText xml:space="preserve"> PAGEREF _Toc1122625872 </w:instrText>
              </w:r>
              <w:r>
                <w:fldChar w:fldCharType="separate"/>
              </w:r>
              <w:r>
                <w:t>161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_Toc774635969 </w:instrText>
              </w:r>
              <w:r>
                <w:rPr>
                  <w:bCs/>
                  <w:lang w:val="zh-CN"/>
                </w:rPr>
                <w:fldChar w:fldCharType="separate"/>
              </w:r>
              <w:r>
                <w:rPr>
                  <w:rFonts w:hint="eastAsia" w:ascii="仿宋" w:hAnsi="仿宋" w:eastAsia="仿宋" w:cs="仿宋"/>
                  <w:szCs w:val="32"/>
                </w:rPr>
                <w:t>6.5.5 特殊情况处理</w:t>
              </w:r>
              <w:r>
                <w:tab/>
              </w:r>
              <w:r>
                <w:fldChar w:fldCharType="begin"/>
              </w:r>
              <w:r>
                <w:instrText xml:space="preserve"> PAGEREF _Toc774635969 </w:instrText>
              </w:r>
              <w:r>
                <w:fldChar w:fldCharType="separate"/>
              </w:r>
              <w:r>
                <w:t>162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_Toc1136497716 </w:instrText>
              </w:r>
              <w:r>
                <w:rPr>
                  <w:bCs/>
                  <w:lang w:val="zh-CN"/>
                </w:rPr>
                <w:fldChar w:fldCharType="separate"/>
              </w:r>
              <w:r>
                <w:rPr>
                  <w:rFonts w:hint="eastAsia" w:ascii="仿宋" w:hAnsi="仿宋" w:eastAsia="仿宋" w:cs="仿宋"/>
                  <w:bCs/>
                  <w:kern w:val="44"/>
                  <w:szCs w:val="40"/>
                </w:rPr>
                <w:t>第七章 票据的到期处理</w:t>
              </w:r>
              <w:r>
                <w:tab/>
              </w:r>
              <w:r>
                <w:fldChar w:fldCharType="begin"/>
              </w:r>
              <w:r>
                <w:instrText xml:space="preserve"> PAGEREF _Toc1136497716 </w:instrText>
              </w:r>
              <w:r>
                <w:fldChar w:fldCharType="separate"/>
              </w:r>
              <w:r>
                <w:t>163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_Toc1079267639 </w:instrText>
              </w:r>
              <w:r>
                <w:rPr>
                  <w:bCs/>
                  <w:lang w:val="zh-CN"/>
                </w:rPr>
                <w:fldChar w:fldCharType="separate"/>
              </w:r>
              <w:r>
                <w:rPr>
                  <w:rFonts w:hint="eastAsia" w:ascii="仿宋" w:hAnsi="仿宋" w:eastAsia="仿宋" w:cs="仿宋"/>
                  <w:szCs w:val="32"/>
                </w:rPr>
                <w:t>7.1 提示付款</w:t>
              </w:r>
              <w:r>
                <w:tab/>
              </w:r>
              <w:r>
                <w:fldChar w:fldCharType="begin"/>
              </w:r>
              <w:r>
                <w:instrText xml:space="preserve"> PAGEREF _Toc1079267639 </w:instrText>
              </w:r>
              <w:r>
                <w:fldChar w:fldCharType="separate"/>
              </w:r>
              <w:r>
                <w:t>163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_Toc1673891552 </w:instrText>
              </w:r>
              <w:r>
                <w:rPr>
                  <w:bCs/>
                  <w:lang w:val="zh-CN"/>
                </w:rPr>
                <w:fldChar w:fldCharType="separate"/>
              </w:r>
              <w:r>
                <w:rPr>
                  <w:rFonts w:hint="eastAsia" w:ascii="仿宋" w:hAnsi="仿宋" w:eastAsia="仿宋" w:cs="仿宋"/>
                  <w:szCs w:val="32"/>
                </w:rPr>
                <w:t>7.1.1提前提示付款</w:t>
              </w:r>
              <w:r>
                <w:tab/>
              </w:r>
              <w:r>
                <w:fldChar w:fldCharType="begin"/>
              </w:r>
              <w:r>
                <w:instrText xml:space="preserve"> PAGEREF _Toc1673891552 </w:instrText>
              </w:r>
              <w:r>
                <w:fldChar w:fldCharType="separate"/>
              </w:r>
              <w:r>
                <w:t>163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_Toc1960339338 </w:instrText>
              </w:r>
              <w:r>
                <w:rPr>
                  <w:bCs/>
                  <w:lang w:val="zh-CN"/>
                </w:rPr>
                <w:fldChar w:fldCharType="separate"/>
              </w:r>
              <w:r>
                <w:rPr>
                  <w:rFonts w:hint="eastAsia" w:ascii="仿宋" w:hAnsi="仿宋" w:eastAsia="仿宋" w:cs="仿宋"/>
                  <w:szCs w:val="32"/>
                </w:rPr>
                <w:t>7.1.2到期提示付款</w:t>
              </w:r>
              <w:r>
                <w:tab/>
              </w:r>
              <w:r>
                <w:fldChar w:fldCharType="begin"/>
              </w:r>
              <w:r>
                <w:instrText xml:space="preserve"> PAGEREF _Toc1960339338 </w:instrText>
              </w:r>
              <w:r>
                <w:fldChar w:fldCharType="separate"/>
              </w:r>
              <w:r>
                <w:t>165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_Toc1338792374 </w:instrText>
              </w:r>
              <w:r>
                <w:rPr>
                  <w:bCs/>
                  <w:lang w:val="zh-CN"/>
                </w:rPr>
                <w:fldChar w:fldCharType="separate"/>
              </w:r>
              <w:r>
                <w:rPr>
                  <w:rFonts w:hint="eastAsia" w:ascii="仿宋" w:hAnsi="仿宋" w:eastAsia="仿宋" w:cs="仿宋"/>
                  <w:szCs w:val="32"/>
                </w:rPr>
                <w:t>7.1.3期后提示付款</w:t>
              </w:r>
              <w:r>
                <w:tab/>
              </w:r>
              <w:r>
                <w:fldChar w:fldCharType="begin"/>
              </w:r>
              <w:r>
                <w:instrText xml:space="preserve"> PAGEREF _Toc1338792374 </w:instrText>
              </w:r>
              <w:r>
                <w:fldChar w:fldCharType="separate"/>
              </w:r>
              <w:r>
                <w:t>167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_Toc1302376109 </w:instrText>
              </w:r>
              <w:r>
                <w:rPr>
                  <w:bCs/>
                  <w:lang w:val="zh-CN"/>
                </w:rPr>
                <w:fldChar w:fldCharType="separate"/>
              </w:r>
              <w:r>
                <w:rPr>
                  <w:rFonts w:hint="eastAsia" w:ascii="仿宋" w:hAnsi="仿宋" w:eastAsia="仿宋" w:cs="仿宋"/>
                  <w:bCs/>
                  <w:szCs w:val="32"/>
                  <w:lang w:bidi="ar"/>
                </w:rPr>
                <w:t>7.1.4 结算扣款确认</w:t>
              </w:r>
              <w:r>
                <w:tab/>
              </w:r>
              <w:r>
                <w:fldChar w:fldCharType="begin"/>
              </w:r>
              <w:r>
                <w:instrText xml:space="preserve"> PAGEREF _Toc1302376109 </w:instrText>
              </w:r>
              <w:r>
                <w:fldChar w:fldCharType="separate"/>
              </w:r>
              <w:r>
                <w:t>170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_Toc1160339296 </w:instrText>
              </w:r>
              <w:r>
                <w:rPr>
                  <w:bCs/>
                  <w:lang w:val="zh-CN"/>
                </w:rPr>
                <w:fldChar w:fldCharType="separate"/>
              </w:r>
              <w:r>
                <w:rPr>
                  <w:rFonts w:hint="eastAsia" w:ascii="仿宋" w:hAnsi="仿宋" w:eastAsia="仿宋" w:cs="仿宋"/>
                  <w:szCs w:val="32"/>
                </w:rPr>
                <w:t>7.2 追索</w:t>
              </w:r>
              <w:r>
                <w:tab/>
              </w:r>
              <w:r>
                <w:fldChar w:fldCharType="begin"/>
              </w:r>
              <w:r>
                <w:instrText xml:space="preserve"> PAGEREF _Toc1160339296 </w:instrText>
              </w:r>
              <w:r>
                <w:fldChar w:fldCharType="separate"/>
              </w:r>
              <w:r>
                <w:t>172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_Toc1221870929 </w:instrText>
              </w:r>
              <w:r>
                <w:rPr>
                  <w:bCs/>
                  <w:lang w:val="zh-CN"/>
                </w:rPr>
                <w:fldChar w:fldCharType="separate"/>
              </w:r>
              <w:r>
                <w:rPr>
                  <w:rFonts w:hint="eastAsia" w:ascii="仿宋" w:hAnsi="仿宋" w:eastAsia="仿宋" w:cs="仿宋"/>
                  <w:szCs w:val="32"/>
                  <w:lang w:bidi="ar"/>
                </w:rPr>
                <w:t>7.2.1 追索通知</w:t>
              </w:r>
              <w:r>
                <w:tab/>
              </w:r>
              <w:r>
                <w:fldChar w:fldCharType="begin"/>
              </w:r>
              <w:r>
                <w:instrText xml:space="preserve"> PAGEREF _Toc1221870929 </w:instrText>
              </w:r>
              <w:r>
                <w:fldChar w:fldCharType="separate"/>
              </w:r>
              <w:r>
                <w:t>174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_Toc1341495165 </w:instrText>
              </w:r>
              <w:r>
                <w:rPr>
                  <w:bCs/>
                  <w:lang w:val="zh-CN"/>
                </w:rPr>
                <w:fldChar w:fldCharType="separate"/>
              </w:r>
              <w:r>
                <w:rPr>
                  <w:rFonts w:hint="eastAsia" w:ascii="仿宋" w:hAnsi="仿宋" w:eastAsia="仿宋" w:cs="仿宋"/>
                  <w:szCs w:val="32"/>
                  <w:lang w:bidi="ar"/>
                </w:rPr>
                <w:t>7.2.2 追索</w:t>
              </w:r>
              <w:r>
                <w:rPr>
                  <w:rFonts w:hint="eastAsia" w:ascii="仿宋" w:hAnsi="仿宋" w:eastAsia="仿宋" w:cs="仿宋"/>
                  <w:szCs w:val="32"/>
                  <w:lang w:eastAsia="zh-Hans" w:bidi="ar"/>
                </w:rPr>
                <w:t>同意</w:t>
              </w:r>
              <w:r>
                <w:rPr>
                  <w:rFonts w:hint="eastAsia" w:ascii="仿宋" w:hAnsi="仿宋" w:eastAsia="仿宋" w:cs="仿宋"/>
                  <w:szCs w:val="32"/>
                  <w:lang w:bidi="ar"/>
                </w:rPr>
                <w:t>清偿</w:t>
              </w:r>
              <w:r>
                <w:tab/>
              </w:r>
              <w:r>
                <w:fldChar w:fldCharType="begin"/>
              </w:r>
              <w:r>
                <w:instrText xml:space="preserve"> PAGEREF _Toc1341495165 </w:instrText>
              </w:r>
              <w:r>
                <w:fldChar w:fldCharType="separate"/>
              </w:r>
              <w:r>
                <w:t>175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_Toc1101461932 </w:instrText>
              </w:r>
              <w:r>
                <w:rPr>
                  <w:bCs/>
                  <w:lang w:val="zh-CN"/>
                </w:rPr>
                <w:fldChar w:fldCharType="separate"/>
              </w:r>
              <w:r>
                <w:rPr>
                  <w:rFonts w:hint="eastAsia" w:ascii="仿宋" w:hAnsi="仿宋" w:eastAsia="仿宋" w:cs="仿宋"/>
                  <w:bCs/>
                  <w:szCs w:val="32"/>
                </w:rPr>
                <w:t>7</w:t>
              </w:r>
              <w:r>
                <w:rPr>
                  <w:rFonts w:ascii="仿宋" w:hAnsi="仿宋" w:eastAsia="仿宋" w:cs="仿宋"/>
                  <w:bCs/>
                  <w:szCs w:val="32"/>
                </w:rPr>
                <w:t>.</w:t>
              </w:r>
              <w:r>
                <w:rPr>
                  <w:rFonts w:hint="eastAsia" w:ascii="仿宋" w:hAnsi="仿宋" w:eastAsia="仿宋" w:cs="仿宋"/>
                  <w:bCs/>
                  <w:szCs w:val="32"/>
                </w:rPr>
                <w:t>3</w:t>
              </w:r>
              <w:r>
                <w:rPr>
                  <w:rFonts w:ascii="仿宋" w:hAnsi="仿宋" w:eastAsia="仿宋" w:cs="仿宋"/>
                  <w:bCs/>
                  <w:szCs w:val="32"/>
                </w:rPr>
                <w:t xml:space="preserve"> </w:t>
              </w:r>
              <w:r>
                <w:rPr>
                  <w:rFonts w:hint="eastAsia" w:ascii="仿宋" w:hAnsi="仿宋" w:eastAsia="仿宋" w:cs="仿宋"/>
                  <w:bCs/>
                  <w:szCs w:val="32"/>
                </w:rPr>
                <w:t>票据的结清</w:t>
              </w:r>
              <w:r>
                <w:tab/>
              </w:r>
              <w:r>
                <w:fldChar w:fldCharType="begin"/>
              </w:r>
              <w:r>
                <w:instrText xml:space="preserve"> PAGEREF _Toc1101461932 </w:instrText>
              </w:r>
              <w:r>
                <w:fldChar w:fldCharType="separate"/>
              </w:r>
              <w:r>
                <w:t>178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_Toc1246462632 </w:instrText>
              </w:r>
              <w:r>
                <w:rPr>
                  <w:bCs/>
                  <w:lang w:val="zh-CN"/>
                </w:rPr>
                <w:fldChar w:fldCharType="separate"/>
              </w:r>
              <w:r>
                <w:rPr>
                  <w:rFonts w:hint="eastAsia" w:ascii="仿宋" w:hAnsi="仿宋" w:eastAsia="仿宋" w:cs="仿宋"/>
                  <w:bCs/>
                  <w:kern w:val="44"/>
                  <w:szCs w:val="40"/>
                </w:rPr>
                <w:t>第八章 票据资金清</w:t>
              </w:r>
              <w:r>
                <w:rPr>
                  <w:rFonts w:hint="eastAsia" w:ascii="仿宋" w:hAnsi="仿宋" w:eastAsia="仿宋" w:cs="仿宋"/>
                  <w:bCs/>
                  <w:kern w:val="44"/>
                  <w:szCs w:val="40"/>
                  <w:lang w:eastAsia="zh-CN"/>
                </w:rPr>
                <w:t>算</w:t>
              </w:r>
              <w:r>
                <w:rPr>
                  <w:rFonts w:hint="eastAsia" w:ascii="仿宋" w:hAnsi="仿宋" w:eastAsia="仿宋" w:cs="仿宋"/>
                  <w:bCs/>
                  <w:kern w:val="44"/>
                  <w:szCs w:val="40"/>
                </w:rPr>
                <w:t>结算和票据登记</w:t>
              </w:r>
              <w:r>
                <w:tab/>
              </w:r>
              <w:r>
                <w:fldChar w:fldCharType="begin"/>
              </w:r>
              <w:r>
                <w:instrText xml:space="preserve"> PAGEREF _Toc1246462632 </w:instrText>
              </w:r>
              <w:r>
                <w:fldChar w:fldCharType="separate"/>
              </w:r>
              <w:r>
                <w:t>179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_Toc1663614363 </w:instrText>
              </w:r>
              <w:r>
                <w:rPr>
                  <w:bCs/>
                  <w:lang w:val="zh-CN"/>
                </w:rPr>
                <w:fldChar w:fldCharType="separate"/>
              </w:r>
              <w:r>
                <w:rPr>
                  <w:rFonts w:ascii="仿宋" w:hAnsi="仿宋" w:eastAsia="仿宋" w:cs="仿宋"/>
                  <w:bCs/>
                  <w:szCs w:val="32"/>
                </w:rPr>
                <w:t>8.</w:t>
              </w:r>
              <w:r>
                <w:rPr>
                  <w:rFonts w:hint="eastAsia" w:ascii="仿宋" w:hAnsi="仿宋" w:eastAsia="仿宋" w:cs="仿宋"/>
                  <w:bCs/>
                  <w:szCs w:val="32"/>
                </w:rPr>
                <w:t>1</w:t>
              </w:r>
              <w:r>
                <w:rPr>
                  <w:rFonts w:ascii="仿宋" w:hAnsi="仿宋" w:eastAsia="仿宋" w:cs="仿宋"/>
                  <w:bCs/>
                  <w:szCs w:val="32"/>
                </w:rPr>
                <w:t xml:space="preserve"> 资金清算结算</w:t>
              </w:r>
              <w:r>
                <w:tab/>
              </w:r>
              <w:r>
                <w:fldChar w:fldCharType="begin"/>
              </w:r>
              <w:r>
                <w:instrText xml:space="preserve"> PAGEREF _Toc1663614363 </w:instrText>
              </w:r>
              <w:r>
                <w:fldChar w:fldCharType="separate"/>
              </w:r>
              <w:r>
                <w:t>179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_Toc1240593601 </w:instrText>
              </w:r>
              <w:r>
                <w:rPr>
                  <w:bCs/>
                  <w:lang w:val="zh-CN"/>
                </w:rPr>
                <w:fldChar w:fldCharType="separate"/>
              </w:r>
              <w:r>
                <w:rPr>
                  <w:rFonts w:ascii="仿宋" w:hAnsi="仿宋" w:eastAsia="仿宋" w:cs="仿宋"/>
                  <w:bCs/>
                  <w:szCs w:val="32"/>
                </w:rPr>
                <w:t>8.</w:t>
              </w:r>
              <w:r>
                <w:rPr>
                  <w:rFonts w:hint="eastAsia" w:ascii="仿宋" w:hAnsi="仿宋" w:eastAsia="仿宋" w:cs="仿宋"/>
                  <w:bCs/>
                  <w:szCs w:val="32"/>
                </w:rPr>
                <w:t>1</w:t>
              </w:r>
              <w:r>
                <w:rPr>
                  <w:rFonts w:ascii="仿宋" w:hAnsi="仿宋" w:eastAsia="仿宋" w:cs="仿宋"/>
                  <w:bCs/>
                  <w:szCs w:val="32"/>
                </w:rPr>
                <w:t>.1 概述</w:t>
              </w:r>
              <w:r>
                <w:tab/>
              </w:r>
              <w:r>
                <w:fldChar w:fldCharType="begin"/>
              </w:r>
              <w:r>
                <w:instrText xml:space="preserve"> PAGEREF _Toc1240593601 </w:instrText>
              </w:r>
              <w:r>
                <w:fldChar w:fldCharType="separate"/>
              </w:r>
              <w:r>
                <w:t>179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_Toc1668972337 </w:instrText>
              </w:r>
              <w:r>
                <w:rPr>
                  <w:bCs/>
                  <w:lang w:val="zh-CN"/>
                </w:rPr>
                <w:fldChar w:fldCharType="separate"/>
              </w:r>
              <w:r>
                <w:rPr>
                  <w:rFonts w:ascii="仿宋" w:hAnsi="仿宋" w:eastAsia="仿宋" w:cs="仿宋"/>
                  <w:bCs/>
                  <w:szCs w:val="32"/>
                </w:rPr>
                <w:t>8.</w:t>
              </w:r>
              <w:r>
                <w:rPr>
                  <w:rFonts w:hint="eastAsia" w:ascii="仿宋" w:hAnsi="仿宋" w:eastAsia="仿宋" w:cs="仿宋"/>
                  <w:bCs/>
                  <w:szCs w:val="32"/>
                </w:rPr>
                <w:t>1</w:t>
              </w:r>
              <w:r>
                <w:rPr>
                  <w:rFonts w:ascii="仿宋" w:hAnsi="仿宋" w:eastAsia="仿宋" w:cs="仿宋"/>
                  <w:bCs/>
                  <w:szCs w:val="32"/>
                </w:rPr>
                <w:t>.2 业务规则</w:t>
              </w:r>
              <w:r>
                <w:tab/>
              </w:r>
              <w:r>
                <w:fldChar w:fldCharType="begin"/>
              </w:r>
              <w:r>
                <w:instrText xml:space="preserve"> PAGEREF _Toc1668972337 </w:instrText>
              </w:r>
              <w:r>
                <w:fldChar w:fldCharType="separate"/>
              </w:r>
              <w:r>
                <w:t>180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_Toc334103050 </w:instrText>
              </w:r>
              <w:r>
                <w:rPr>
                  <w:bCs/>
                  <w:lang w:val="zh-CN"/>
                </w:rPr>
                <w:fldChar w:fldCharType="separate"/>
              </w:r>
              <w:r>
                <w:rPr>
                  <w:rFonts w:ascii="仿宋" w:hAnsi="仿宋" w:eastAsia="仿宋" w:cs="仿宋"/>
                  <w:bCs/>
                  <w:szCs w:val="32"/>
                  <w:lang w:bidi="ar"/>
                </w:rPr>
                <w:t>8.</w:t>
              </w:r>
              <w:r>
                <w:rPr>
                  <w:rFonts w:hint="eastAsia" w:ascii="仿宋" w:hAnsi="仿宋" w:eastAsia="仿宋" w:cs="仿宋"/>
                  <w:bCs/>
                  <w:szCs w:val="32"/>
                  <w:lang w:bidi="ar"/>
                </w:rPr>
                <w:t>1</w:t>
              </w:r>
              <w:r>
                <w:rPr>
                  <w:rFonts w:ascii="仿宋" w:hAnsi="仿宋" w:eastAsia="仿宋" w:cs="仿宋"/>
                  <w:bCs/>
                  <w:szCs w:val="32"/>
                  <w:lang w:bidi="ar"/>
                </w:rPr>
                <w:t>.3 业务流程</w:t>
              </w:r>
              <w:r>
                <w:tab/>
              </w:r>
              <w:r>
                <w:fldChar w:fldCharType="begin"/>
              </w:r>
              <w:r>
                <w:instrText xml:space="preserve"> PAGEREF _Toc334103050 </w:instrText>
              </w:r>
              <w:r>
                <w:fldChar w:fldCharType="separate"/>
              </w:r>
              <w:r>
                <w:t>185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_Toc1372028327 </w:instrText>
              </w:r>
              <w:r>
                <w:rPr>
                  <w:bCs/>
                  <w:lang w:val="zh-CN"/>
                </w:rPr>
                <w:fldChar w:fldCharType="separate"/>
              </w:r>
              <w:r>
                <w:rPr>
                  <w:rFonts w:hint="eastAsia" w:ascii="仿宋" w:hAnsi="仿宋" w:eastAsia="仿宋" w:cs="仿宋"/>
                  <w:bCs/>
                  <w:szCs w:val="32"/>
                </w:rPr>
                <w:t>8.2</w:t>
              </w:r>
              <w:r>
                <w:rPr>
                  <w:rFonts w:ascii="仿宋" w:hAnsi="仿宋" w:eastAsia="仿宋" w:cs="仿宋"/>
                  <w:bCs/>
                  <w:szCs w:val="32"/>
                </w:rPr>
                <w:t xml:space="preserve"> 票据登记</w:t>
              </w:r>
              <w:r>
                <w:tab/>
              </w:r>
              <w:r>
                <w:fldChar w:fldCharType="begin"/>
              </w:r>
              <w:r>
                <w:instrText xml:space="preserve"> PAGEREF _Toc1372028327 </w:instrText>
              </w:r>
              <w:r>
                <w:fldChar w:fldCharType="separate"/>
              </w:r>
              <w:r>
                <w:t>188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_Toc815751106 </w:instrText>
              </w:r>
              <w:r>
                <w:rPr>
                  <w:bCs/>
                  <w:lang w:val="zh-CN"/>
                </w:rPr>
                <w:fldChar w:fldCharType="separate"/>
              </w:r>
              <w:r>
                <w:rPr>
                  <w:rFonts w:hint="eastAsia" w:ascii="仿宋" w:hAnsi="仿宋" w:eastAsia="仿宋" w:cs="仿宋"/>
                  <w:bCs/>
                  <w:szCs w:val="32"/>
                </w:rPr>
                <w:t>8.2.1 概述</w:t>
              </w:r>
              <w:r>
                <w:tab/>
              </w:r>
              <w:r>
                <w:fldChar w:fldCharType="begin"/>
              </w:r>
              <w:r>
                <w:instrText xml:space="preserve"> PAGEREF _Toc815751106 </w:instrText>
              </w:r>
              <w:r>
                <w:fldChar w:fldCharType="separate"/>
              </w:r>
              <w:r>
                <w:t>188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_Toc544108570 </w:instrText>
              </w:r>
              <w:r>
                <w:rPr>
                  <w:bCs/>
                  <w:lang w:val="zh-CN"/>
                </w:rPr>
                <w:fldChar w:fldCharType="separate"/>
              </w:r>
              <w:r>
                <w:rPr>
                  <w:rFonts w:hint="eastAsia" w:ascii="仿宋" w:hAnsi="仿宋" w:eastAsia="仿宋" w:cs="仿宋"/>
                  <w:bCs/>
                  <w:szCs w:val="32"/>
                </w:rPr>
                <w:t>8.2</w:t>
              </w:r>
              <w:r>
                <w:rPr>
                  <w:rFonts w:ascii="仿宋" w:hAnsi="仿宋" w:eastAsia="仿宋" w:cs="仿宋"/>
                  <w:bCs/>
                  <w:szCs w:val="32"/>
                </w:rPr>
                <w:t>.2 权属初始登记</w:t>
              </w:r>
              <w:r>
                <w:tab/>
              </w:r>
              <w:r>
                <w:fldChar w:fldCharType="begin"/>
              </w:r>
              <w:r>
                <w:instrText xml:space="preserve"> PAGEREF _Toc544108570 </w:instrText>
              </w:r>
              <w:r>
                <w:fldChar w:fldCharType="separate"/>
              </w:r>
              <w:r>
                <w:t>189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_Toc1764744011 </w:instrText>
              </w:r>
              <w:r>
                <w:rPr>
                  <w:bCs/>
                  <w:lang w:val="zh-CN"/>
                </w:rPr>
                <w:fldChar w:fldCharType="separate"/>
              </w:r>
              <w:r>
                <w:rPr>
                  <w:rFonts w:hint="eastAsia" w:ascii="仿宋" w:hAnsi="仿宋" w:eastAsia="仿宋" w:cs="仿宋"/>
                  <w:bCs/>
                  <w:szCs w:val="32"/>
                </w:rPr>
                <w:t>8.2.3 权属过户登记</w:t>
              </w:r>
              <w:r>
                <w:tab/>
              </w:r>
              <w:r>
                <w:fldChar w:fldCharType="begin"/>
              </w:r>
              <w:r>
                <w:instrText xml:space="preserve"> PAGEREF _Toc1764744011 </w:instrText>
              </w:r>
              <w:r>
                <w:fldChar w:fldCharType="separate"/>
              </w:r>
              <w:r>
                <w:t>189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_Toc1295104443 </w:instrText>
              </w:r>
              <w:r>
                <w:rPr>
                  <w:bCs/>
                  <w:lang w:val="zh-CN"/>
                </w:rPr>
                <w:fldChar w:fldCharType="separate"/>
              </w:r>
              <w:r>
                <w:rPr>
                  <w:rFonts w:hint="eastAsia" w:ascii="仿宋" w:hAnsi="仿宋" w:eastAsia="仿宋" w:cs="仿宋"/>
                  <w:bCs/>
                  <w:szCs w:val="32"/>
                </w:rPr>
                <w:t>8.2.4 质押/质押解除登记</w:t>
              </w:r>
              <w:r>
                <w:tab/>
              </w:r>
              <w:r>
                <w:fldChar w:fldCharType="begin"/>
              </w:r>
              <w:r>
                <w:instrText xml:space="preserve"> PAGEREF _Toc1295104443 </w:instrText>
              </w:r>
              <w:r>
                <w:fldChar w:fldCharType="separate"/>
              </w:r>
              <w:r>
                <w:t>190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_Toc176261141 </w:instrText>
              </w:r>
              <w:r>
                <w:rPr>
                  <w:bCs/>
                  <w:lang w:val="zh-CN"/>
                </w:rPr>
                <w:fldChar w:fldCharType="separate"/>
              </w:r>
              <w:r>
                <w:rPr>
                  <w:rFonts w:hint="eastAsia" w:ascii="仿宋" w:hAnsi="仿宋" w:eastAsia="仿宋" w:cs="仿宋"/>
                  <w:bCs/>
                  <w:szCs w:val="32"/>
                </w:rPr>
                <w:t>8.2.5 权属注销登记</w:t>
              </w:r>
              <w:r>
                <w:tab/>
              </w:r>
              <w:r>
                <w:fldChar w:fldCharType="begin"/>
              </w:r>
              <w:r>
                <w:instrText xml:space="preserve"> PAGEREF _Toc176261141 </w:instrText>
              </w:r>
              <w:r>
                <w:fldChar w:fldCharType="separate"/>
              </w:r>
              <w:r>
                <w:t>191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_Toc1213454533 </w:instrText>
              </w:r>
              <w:r>
                <w:rPr>
                  <w:bCs/>
                  <w:lang w:val="zh-CN"/>
                </w:rPr>
                <w:fldChar w:fldCharType="separate"/>
              </w:r>
              <w:r>
                <w:rPr>
                  <w:rFonts w:hint="eastAsia" w:ascii="仿宋" w:hAnsi="仿宋" w:eastAsia="仿宋" w:cs="仿宋"/>
                  <w:bCs/>
                  <w:szCs w:val="32"/>
                </w:rPr>
                <w:t>8.2.6 追索变更登记</w:t>
              </w:r>
              <w:r>
                <w:tab/>
              </w:r>
              <w:r>
                <w:fldChar w:fldCharType="begin"/>
              </w:r>
              <w:r>
                <w:instrText xml:space="preserve"> PAGEREF _Toc1213454533 </w:instrText>
              </w:r>
              <w:r>
                <w:fldChar w:fldCharType="separate"/>
              </w:r>
              <w:r>
                <w:t>192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_Toc2125782206 </w:instrText>
              </w:r>
              <w:r>
                <w:rPr>
                  <w:bCs/>
                  <w:lang w:val="zh-CN"/>
                </w:rPr>
                <w:fldChar w:fldCharType="separate"/>
              </w:r>
              <w:r>
                <w:rPr>
                  <w:rFonts w:hint="eastAsia" w:ascii="仿宋" w:hAnsi="仿宋" w:eastAsia="仿宋" w:cs="仿宋"/>
                  <w:bCs/>
                  <w:kern w:val="44"/>
                  <w:szCs w:val="40"/>
                </w:rPr>
                <w:t>第九章 业务参与者服务</w:t>
              </w:r>
              <w:r>
                <w:tab/>
              </w:r>
              <w:r>
                <w:fldChar w:fldCharType="begin"/>
              </w:r>
              <w:r>
                <w:instrText xml:space="preserve"> PAGEREF _Toc2125782206 </w:instrText>
              </w:r>
              <w:r>
                <w:fldChar w:fldCharType="separate"/>
              </w:r>
              <w:r>
                <w:t>193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_Toc872329184 </w:instrText>
              </w:r>
              <w:r>
                <w:rPr>
                  <w:bCs/>
                  <w:lang w:val="zh-CN"/>
                </w:rPr>
                <w:fldChar w:fldCharType="separate"/>
              </w:r>
              <w:r>
                <w:rPr>
                  <w:rFonts w:hint="eastAsia" w:ascii="仿宋" w:hAnsi="仿宋" w:eastAsia="仿宋" w:cs="仿宋"/>
                  <w:szCs w:val="32"/>
                </w:rPr>
                <w:t>9.1 信息服务</w:t>
              </w:r>
              <w:r>
                <w:tab/>
              </w:r>
              <w:r>
                <w:fldChar w:fldCharType="begin"/>
              </w:r>
              <w:r>
                <w:instrText xml:space="preserve"> PAGEREF _Toc872329184 </w:instrText>
              </w:r>
              <w:r>
                <w:fldChar w:fldCharType="separate"/>
              </w:r>
              <w:r>
                <w:t>193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_Toc402441157 </w:instrText>
              </w:r>
              <w:r>
                <w:rPr>
                  <w:bCs/>
                  <w:lang w:val="zh-CN"/>
                </w:rPr>
                <w:fldChar w:fldCharType="separate"/>
              </w:r>
              <w:r>
                <w:rPr>
                  <w:rFonts w:hint="eastAsia" w:ascii="仿宋" w:hAnsi="仿宋" w:eastAsia="仿宋" w:cs="仿宋"/>
                  <w:szCs w:val="32"/>
                </w:rPr>
                <w:t>9.1.1信用信息查询</w:t>
              </w:r>
              <w:r>
                <w:tab/>
              </w:r>
              <w:r>
                <w:fldChar w:fldCharType="begin"/>
              </w:r>
              <w:r>
                <w:instrText xml:space="preserve"> PAGEREF _Toc402441157 </w:instrText>
              </w:r>
              <w:r>
                <w:fldChar w:fldCharType="separate"/>
              </w:r>
              <w:r>
                <w:t>193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_Toc1574719416 </w:instrText>
              </w:r>
              <w:r>
                <w:rPr>
                  <w:bCs/>
                  <w:lang w:val="zh-CN"/>
                </w:rPr>
                <w:fldChar w:fldCharType="separate"/>
              </w:r>
              <w:r>
                <w:rPr>
                  <w:rFonts w:hint="eastAsia" w:ascii="仿宋" w:hAnsi="仿宋" w:eastAsia="仿宋" w:cs="仿宋"/>
                  <w:szCs w:val="32"/>
                </w:rPr>
                <w:t>9.1.2 供应链平台票据业务信息查询</w:t>
              </w:r>
              <w:r>
                <w:tab/>
              </w:r>
              <w:r>
                <w:fldChar w:fldCharType="begin"/>
              </w:r>
              <w:r>
                <w:instrText xml:space="preserve"> PAGEREF _Toc1574719416 </w:instrText>
              </w:r>
              <w:r>
                <w:fldChar w:fldCharType="separate"/>
              </w:r>
              <w:r>
                <w:t>194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_Toc1190995300 </w:instrText>
              </w:r>
              <w:r>
                <w:rPr>
                  <w:bCs/>
                  <w:lang w:val="zh-CN"/>
                </w:rPr>
                <w:fldChar w:fldCharType="separate"/>
              </w:r>
              <w:r>
                <w:rPr>
                  <w:rFonts w:hint="eastAsia" w:ascii="仿宋" w:hAnsi="仿宋" w:eastAsia="仿宋" w:cs="仿宋"/>
                  <w:szCs w:val="32"/>
                </w:rPr>
                <w:t>9</w:t>
              </w:r>
              <w:r>
                <w:rPr>
                  <w:rFonts w:hint="eastAsia" w:ascii="仿宋" w:hAnsi="仿宋" w:eastAsia="仿宋" w:cs="仿宋"/>
                  <w:spacing w:val="-7"/>
                </w:rPr>
                <w:t>.1.3 交易关系信息查询</w:t>
              </w:r>
              <w:r>
                <w:tab/>
              </w:r>
              <w:r>
                <w:fldChar w:fldCharType="begin"/>
              </w:r>
              <w:r>
                <w:instrText xml:space="preserve"> PAGEREF _Toc1190995300 </w:instrText>
              </w:r>
              <w:r>
                <w:fldChar w:fldCharType="separate"/>
              </w:r>
              <w:r>
                <w:t>197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_Toc313636737 </w:instrText>
              </w:r>
              <w:r>
                <w:rPr>
                  <w:bCs/>
                  <w:lang w:val="zh-CN"/>
                </w:rPr>
                <w:fldChar w:fldCharType="separate"/>
              </w:r>
              <w:r>
                <w:rPr>
                  <w:rFonts w:hint="eastAsia" w:ascii="仿宋" w:hAnsi="仿宋" w:eastAsia="仿宋" w:cs="仿宋"/>
                  <w:szCs w:val="32"/>
                </w:rPr>
                <w:t>9.1.4 间接参与者备案登记信息查询</w:t>
              </w:r>
              <w:r>
                <w:tab/>
              </w:r>
              <w:r>
                <w:fldChar w:fldCharType="begin"/>
              </w:r>
              <w:r>
                <w:instrText xml:space="preserve"> PAGEREF _Toc313636737 </w:instrText>
              </w:r>
              <w:r>
                <w:fldChar w:fldCharType="separate"/>
              </w:r>
              <w:r>
                <w:t>199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_Toc597898862 </w:instrText>
              </w:r>
              <w:r>
                <w:rPr>
                  <w:bCs/>
                  <w:lang w:val="zh-CN"/>
                </w:rPr>
                <w:fldChar w:fldCharType="separate"/>
              </w:r>
              <w:r>
                <w:rPr>
                  <w:rFonts w:hint="eastAsia" w:ascii="仿宋" w:hAnsi="仿宋" w:eastAsia="仿宋" w:cs="仿宋"/>
                </w:rPr>
                <w:t>9.2 托管账务服务</w:t>
              </w:r>
              <w:r>
                <w:tab/>
              </w:r>
              <w:r>
                <w:fldChar w:fldCharType="begin"/>
              </w:r>
              <w:r>
                <w:instrText xml:space="preserve"> PAGEREF _Toc597898862 </w:instrText>
              </w:r>
              <w:r>
                <w:fldChar w:fldCharType="separate"/>
              </w:r>
              <w:r>
                <w:t>202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_Toc166137524 </w:instrText>
              </w:r>
              <w:r>
                <w:rPr>
                  <w:bCs/>
                  <w:lang w:val="zh-CN"/>
                </w:rPr>
                <w:fldChar w:fldCharType="separate"/>
              </w:r>
              <w:r>
                <w:rPr>
                  <w:rFonts w:hint="eastAsia" w:ascii="仿宋" w:hAnsi="仿宋" w:eastAsia="仿宋" w:cs="仿宋"/>
                  <w:szCs w:val="32"/>
                </w:rPr>
                <w:t>9.2.1 托管记账信息查询</w:t>
              </w:r>
              <w:r>
                <w:tab/>
              </w:r>
              <w:r>
                <w:fldChar w:fldCharType="begin"/>
              </w:r>
              <w:r>
                <w:instrText xml:space="preserve"> PAGEREF _Toc166137524 </w:instrText>
              </w:r>
              <w:r>
                <w:fldChar w:fldCharType="separate"/>
              </w:r>
              <w:r>
                <w:t>202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_Toc1088272706 </w:instrText>
              </w:r>
              <w:r>
                <w:rPr>
                  <w:bCs/>
                  <w:lang w:val="zh-CN"/>
                </w:rPr>
                <w:fldChar w:fldCharType="separate"/>
              </w:r>
              <w:r>
                <w:rPr>
                  <w:rFonts w:hint="eastAsia" w:ascii="仿宋" w:hAnsi="仿宋" w:eastAsia="仿宋" w:cs="仿宋"/>
                  <w:szCs w:val="32"/>
                </w:rPr>
                <w:t>9.2.2 托管余额表查询</w:t>
              </w:r>
              <w:r>
                <w:tab/>
              </w:r>
              <w:r>
                <w:fldChar w:fldCharType="begin"/>
              </w:r>
              <w:r>
                <w:instrText xml:space="preserve"> PAGEREF _Toc1088272706 </w:instrText>
              </w:r>
              <w:r>
                <w:fldChar w:fldCharType="separate"/>
              </w:r>
              <w:r>
                <w:t>203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_Toc1734396578 </w:instrText>
              </w:r>
              <w:r>
                <w:rPr>
                  <w:bCs/>
                  <w:lang w:val="zh-CN"/>
                </w:rPr>
                <w:fldChar w:fldCharType="separate"/>
              </w:r>
              <w:r>
                <w:rPr>
                  <w:rFonts w:hint="eastAsia" w:ascii="仿宋" w:hAnsi="仿宋" w:eastAsia="仿宋" w:cs="仿宋"/>
                  <w:szCs w:val="32"/>
                </w:rPr>
                <w:t>9.2.3 托管单据查询</w:t>
              </w:r>
              <w:r>
                <w:tab/>
              </w:r>
              <w:r>
                <w:fldChar w:fldCharType="begin"/>
              </w:r>
              <w:r>
                <w:instrText xml:space="preserve"> PAGEREF _Toc1734396578 </w:instrText>
              </w:r>
              <w:r>
                <w:fldChar w:fldCharType="separate"/>
              </w:r>
              <w:r>
                <w:t>203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_Toc1245405163 </w:instrText>
              </w:r>
              <w:r>
                <w:rPr>
                  <w:bCs/>
                  <w:lang w:val="zh-CN"/>
                </w:rPr>
                <w:fldChar w:fldCharType="separate"/>
              </w:r>
              <w:r>
                <w:rPr>
                  <w:rFonts w:hint="eastAsia" w:ascii="仿宋" w:hAnsi="仿宋" w:eastAsia="仿宋" w:cs="仿宋"/>
                  <w:szCs w:val="32"/>
                </w:rPr>
                <w:t>9.2.4 托管台账查询</w:t>
              </w:r>
              <w:r>
                <w:tab/>
              </w:r>
              <w:r>
                <w:fldChar w:fldCharType="begin"/>
              </w:r>
              <w:r>
                <w:instrText xml:space="preserve"> PAGEREF _Toc1245405163 </w:instrText>
              </w:r>
              <w:r>
                <w:fldChar w:fldCharType="separate"/>
              </w:r>
              <w:r>
                <w:t>204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_Toc614680610 </w:instrText>
              </w:r>
              <w:r>
                <w:rPr>
                  <w:bCs/>
                  <w:lang w:val="zh-CN"/>
                </w:rPr>
                <w:fldChar w:fldCharType="separate"/>
              </w:r>
              <w:r>
                <w:rPr>
                  <w:rFonts w:hint="eastAsia" w:ascii="仿宋" w:hAnsi="仿宋" w:eastAsia="仿宋" w:cs="仿宋"/>
                  <w:szCs w:val="32"/>
                </w:rPr>
                <w:t>9.2.5 托管库存查询</w:t>
              </w:r>
              <w:r>
                <w:tab/>
              </w:r>
              <w:r>
                <w:fldChar w:fldCharType="begin"/>
              </w:r>
              <w:r>
                <w:instrText xml:space="preserve"> PAGEREF _Toc614680610 </w:instrText>
              </w:r>
              <w:r>
                <w:fldChar w:fldCharType="separate"/>
              </w:r>
              <w:r>
                <w:t>204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_Toc1547252268 </w:instrText>
              </w:r>
              <w:r>
                <w:rPr>
                  <w:bCs/>
                  <w:lang w:val="zh-CN"/>
                </w:rPr>
                <w:fldChar w:fldCharType="separate"/>
              </w:r>
              <w:r>
                <w:rPr>
                  <w:rFonts w:hint="eastAsia" w:ascii="仿宋" w:hAnsi="仿宋" w:eastAsia="仿宋" w:cs="仿宋"/>
                  <w:szCs w:val="32"/>
                </w:rPr>
                <w:t>9.2.6 托管对账查询</w:t>
              </w:r>
              <w:r>
                <w:tab/>
              </w:r>
              <w:r>
                <w:fldChar w:fldCharType="begin"/>
              </w:r>
              <w:r>
                <w:instrText xml:space="preserve"> PAGEREF _Toc1547252268 </w:instrText>
              </w:r>
              <w:r>
                <w:fldChar w:fldCharType="separate"/>
              </w:r>
              <w:r>
                <w:t>205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_Toc436713890 </w:instrText>
              </w:r>
              <w:r>
                <w:rPr>
                  <w:bCs/>
                  <w:lang w:val="zh-CN"/>
                </w:rPr>
                <w:fldChar w:fldCharType="separate"/>
              </w:r>
              <w:r>
                <w:rPr>
                  <w:rFonts w:hint="eastAsia" w:ascii="仿宋" w:hAnsi="仿宋" w:eastAsia="仿宋" w:cs="仿宋"/>
                  <w:bCs/>
                  <w:szCs w:val="32"/>
                </w:rPr>
                <w:t>9.2.7 托管对账处理</w:t>
              </w:r>
              <w:r>
                <w:tab/>
              </w:r>
              <w:r>
                <w:fldChar w:fldCharType="begin"/>
              </w:r>
              <w:r>
                <w:instrText xml:space="preserve"> PAGEREF _Toc436713890 </w:instrText>
              </w:r>
              <w:r>
                <w:fldChar w:fldCharType="separate"/>
              </w:r>
              <w:r>
                <w:t>205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_Toc1917056719 </w:instrText>
              </w:r>
              <w:r>
                <w:rPr>
                  <w:bCs/>
                  <w:lang w:val="zh-CN"/>
                </w:rPr>
                <w:fldChar w:fldCharType="separate"/>
              </w:r>
              <w:r>
                <w:rPr>
                  <w:rFonts w:hint="eastAsia" w:ascii="仿宋" w:hAnsi="仿宋" w:eastAsia="仿宋" w:cs="仿宋"/>
                </w:rPr>
                <w:t>9.3</w:t>
              </w:r>
              <w:r>
                <w:rPr>
                  <w:rFonts w:ascii="仿宋" w:hAnsi="仿宋" w:eastAsia="仿宋" w:cs="仿宋"/>
                  <w:bCs/>
                  <w:szCs w:val="32"/>
                  <w:lang w:bidi="ar"/>
                </w:rPr>
                <w:t xml:space="preserve"> </w:t>
              </w:r>
              <w:r>
                <w:rPr>
                  <w:rFonts w:hint="eastAsia" w:ascii="仿宋" w:hAnsi="仿宋" w:eastAsia="仿宋" w:cs="仿宋"/>
                </w:rPr>
                <w:t>账户函证及查询服务</w:t>
              </w:r>
              <w:r>
                <w:tab/>
              </w:r>
              <w:r>
                <w:fldChar w:fldCharType="begin"/>
              </w:r>
              <w:r>
                <w:instrText xml:space="preserve"> PAGEREF _Toc1917056719 </w:instrText>
              </w:r>
              <w:r>
                <w:fldChar w:fldCharType="separate"/>
              </w:r>
              <w:r>
                <w:t>206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_Toc560107916 </w:instrText>
              </w:r>
              <w:r>
                <w:rPr>
                  <w:bCs/>
                  <w:lang w:val="zh-CN"/>
                </w:rPr>
                <w:fldChar w:fldCharType="separate"/>
              </w:r>
              <w:r>
                <w:rPr>
                  <w:rFonts w:hint="eastAsia" w:ascii="仿宋" w:hAnsi="仿宋" w:eastAsia="仿宋" w:cs="仿宋"/>
                  <w:bCs/>
                  <w:szCs w:val="32"/>
                </w:rPr>
                <w:t>9.4 伪假电票处置</w:t>
              </w:r>
              <w:r>
                <w:tab/>
              </w:r>
              <w:r>
                <w:fldChar w:fldCharType="begin"/>
              </w:r>
              <w:r>
                <w:instrText xml:space="preserve"> PAGEREF _Toc560107916 </w:instrText>
              </w:r>
              <w:r>
                <w:fldChar w:fldCharType="separate"/>
              </w:r>
              <w:r>
                <w:t>207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_Toc1658584819 </w:instrText>
              </w:r>
              <w:r>
                <w:rPr>
                  <w:bCs/>
                  <w:lang w:val="zh-CN"/>
                </w:rPr>
                <w:fldChar w:fldCharType="separate"/>
              </w:r>
              <w:r>
                <w:rPr>
                  <w:rFonts w:hint="eastAsia" w:ascii="仿宋" w:hAnsi="仿宋" w:eastAsia="仿宋" w:cs="仿宋"/>
                  <w:szCs w:val="32"/>
                </w:rPr>
                <w:t>9.5 票据有偿服务收费</w:t>
              </w:r>
              <w:r>
                <w:tab/>
              </w:r>
              <w:r>
                <w:fldChar w:fldCharType="begin"/>
              </w:r>
              <w:r>
                <w:instrText xml:space="preserve"> PAGEREF _Toc1658584819 </w:instrText>
              </w:r>
              <w:r>
                <w:fldChar w:fldCharType="separate"/>
              </w:r>
              <w:r>
                <w:t>209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_Toc1111068237 </w:instrText>
              </w:r>
              <w:r>
                <w:rPr>
                  <w:bCs/>
                  <w:lang w:val="zh-CN"/>
                </w:rPr>
                <w:fldChar w:fldCharType="separate"/>
              </w:r>
              <w:r>
                <w:rPr>
                  <w:rFonts w:hint="eastAsia" w:ascii="仿宋" w:hAnsi="仿宋" w:eastAsia="仿宋" w:cs="仿宋"/>
                  <w:bCs/>
                  <w:szCs w:val="32"/>
                </w:rPr>
                <w:t>9.5.1 收费</w:t>
              </w:r>
              <w:r>
                <w:tab/>
              </w:r>
              <w:r>
                <w:fldChar w:fldCharType="begin"/>
              </w:r>
              <w:r>
                <w:instrText xml:space="preserve"> PAGEREF _Toc1111068237 </w:instrText>
              </w:r>
              <w:r>
                <w:fldChar w:fldCharType="separate"/>
              </w:r>
              <w:r>
                <w:t>209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_Toc1661569849 </w:instrText>
              </w:r>
              <w:r>
                <w:rPr>
                  <w:bCs/>
                  <w:lang w:val="zh-CN"/>
                </w:rPr>
                <w:fldChar w:fldCharType="separate"/>
              </w:r>
              <w:r>
                <w:rPr>
                  <w:rFonts w:hint="eastAsia" w:ascii="仿宋" w:hAnsi="仿宋" w:eastAsia="仿宋" w:cs="仿宋"/>
                  <w:bCs/>
                  <w:kern w:val="0"/>
                  <w:szCs w:val="32"/>
                  <w:lang w:bidi="ar"/>
                </w:rPr>
                <w:t>9.5.2 账单及费用明细查询</w:t>
              </w:r>
              <w:r>
                <w:tab/>
              </w:r>
              <w:r>
                <w:fldChar w:fldCharType="begin"/>
              </w:r>
              <w:r>
                <w:instrText xml:space="preserve"> PAGEREF _Toc1661569849 </w:instrText>
              </w:r>
              <w:r>
                <w:fldChar w:fldCharType="separate"/>
              </w:r>
              <w:r>
                <w:t>210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_Toc757563804 </w:instrText>
              </w:r>
              <w:r>
                <w:rPr>
                  <w:bCs/>
                  <w:lang w:val="zh-CN"/>
                </w:rPr>
                <w:fldChar w:fldCharType="separate"/>
              </w:r>
              <w:r>
                <w:rPr>
                  <w:rFonts w:hint="eastAsia" w:ascii="仿宋" w:hAnsi="仿宋" w:eastAsia="仿宋" w:cs="仿宋"/>
                  <w:bCs/>
                  <w:szCs w:val="32"/>
                </w:rPr>
                <w:t>9.5.3 发票</w:t>
              </w:r>
              <w:r>
                <w:tab/>
              </w:r>
              <w:r>
                <w:fldChar w:fldCharType="begin"/>
              </w:r>
              <w:r>
                <w:instrText xml:space="preserve"> PAGEREF _Toc757563804 </w:instrText>
              </w:r>
              <w:r>
                <w:fldChar w:fldCharType="separate"/>
              </w:r>
              <w:r>
                <w:t>211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_Toc627198952 </w:instrText>
              </w:r>
              <w:r>
                <w:rPr>
                  <w:bCs/>
                  <w:lang w:val="zh-CN"/>
                </w:rPr>
                <w:fldChar w:fldCharType="separate"/>
              </w:r>
              <w:r>
                <w:rPr>
                  <w:rFonts w:hint="eastAsia" w:ascii="仿宋" w:hAnsi="仿宋" w:eastAsia="仿宋" w:cs="仿宋"/>
                  <w:bCs/>
                  <w:szCs w:val="32"/>
                </w:rPr>
                <w:t>9.5.4 逾期</w:t>
              </w:r>
              <w:r>
                <w:rPr>
                  <w:rFonts w:hint="eastAsia" w:ascii="仿宋" w:hAnsi="仿宋" w:eastAsia="仿宋" w:cs="仿宋"/>
                  <w:szCs w:val="32"/>
                </w:rPr>
                <w:t>缴费</w:t>
              </w:r>
              <w:r>
                <w:rPr>
                  <w:rFonts w:hint="eastAsia" w:ascii="仿宋" w:hAnsi="仿宋" w:eastAsia="仿宋" w:cs="仿宋"/>
                  <w:bCs/>
                  <w:szCs w:val="32"/>
                </w:rPr>
                <w:t>处理</w:t>
              </w:r>
              <w:r>
                <w:tab/>
              </w:r>
              <w:r>
                <w:fldChar w:fldCharType="begin"/>
              </w:r>
              <w:r>
                <w:instrText xml:space="preserve"> PAGEREF _Toc627198952 </w:instrText>
              </w:r>
              <w:r>
                <w:fldChar w:fldCharType="separate"/>
              </w:r>
              <w:r>
                <w:t>211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_Toc754679802 </w:instrText>
              </w:r>
              <w:r>
                <w:rPr>
                  <w:bCs/>
                  <w:lang w:val="zh-CN"/>
                </w:rPr>
                <w:fldChar w:fldCharType="separate"/>
              </w:r>
              <w:r>
                <w:rPr>
                  <w:rFonts w:hint="eastAsia" w:ascii="仿宋" w:hAnsi="仿宋" w:eastAsia="仿宋" w:cs="仿宋"/>
                  <w:bCs/>
                  <w:kern w:val="44"/>
                  <w:szCs w:val="40"/>
                </w:rPr>
                <w:t>第十章 信息披露</w:t>
              </w:r>
              <w:r>
                <w:tab/>
              </w:r>
              <w:r>
                <w:fldChar w:fldCharType="begin"/>
              </w:r>
              <w:r>
                <w:instrText xml:space="preserve"> PAGEREF _Toc754679802 </w:instrText>
              </w:r>
              <w:r>
                <w:fldChar w:fldCharType="separate"/>
              </w:r>
              <w:r>
                <w:t>212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_Toc279052493 </w:instrText>
              </w:r>
              <w:r>
                <w:rPr>
                  <w:bCs/>
                  <w:lang w:val="zh-CN"/>
                </w:rPr>
                <w:fldChar w:fldCharType="separate"/>
              </w:r>
              <w:r>
                <w:rPr>
                  <w:rFonts w:hint="eastAsia" w:ascii="仿宋" w:hAnsi="仿宋" w:eastAsia="仿宋" w:cs="仿宋"/>
                  <w:bCs/>
                  <w:szCs w:val="32"/>
                </w:rPr>
                <w:t xml:space="preserve">10.1 </w:t>
              </w:r>
              <w:r>
                <w:rPr>
                  <w:rFonts w:hint="eastAsia" w:ascii="仿宋" w:hAnsi="仿宋" w:eastAsia="仿宋" w:cs="仿宋"/>
                  <w:szCs w:val="32"/>
                </w:rPr>
                <w:t>信息</w:t>
              </w:r>
              <w:r>
                <w:rPr>
                  <w:rFonts w:hint="eastAsia" w:ascii="仿宋" w:hAnsi="仿宋" w:eastAsia="仿宋" w:cs="仿宋"/>
                  <w:bCs/>
                  <w:szCs w:val="32"/>
                </w:rPr>
                <w:t>披露</w:t>
              </w:r>
              <w:r>
                <w:tab/>
              </w:r>
              <w:r>
                <w:fldChar w:fldCharType="begin"/>
              </w:r>
              <w:r>
                <w:instrText xml:space="preserve"> PAGEREF _Toc279052493 </w:instrText>
              </w:r>
              <w:r>
                <w:fldChar w:fldCharType="separate"/>
              </w:r>
              <w:r>
                <w:t>212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_Toc961302002 </w:instrText>
              </w:r>
              <w:r>
                <w:rPr>
                  <w:bCs/>
                  <w:lang w:val="zh-CN"/>
                </w:rPr>
                <w:fldChar w:fldCharType="separate"/>
              </w:r>
              <w:r>
                <w:rPr>
                  <w:rFonts w:hint="eastAsia" w:ascii="仿宋" w:hAnsi="仿宋" w:eastAsia="仿宋" w:cs="仿宋"/>
                  <w:szCs w:val="32"/>
                </w:rPr>
                <w:t>10.1.1 承兑信息披露</w:t>
              </w:r>
              <w:r>
                <w:tab/>
              </w:r>
              <w:r>
                <w:fldChar w:fldCharType="begin"/>
              </w:r>
              <w:r>
                <w:instrText xml:space="preserve"> PAGEREF _Toc961302002 </w:instrText>
              </w:r>
              <w:r>
                <w:fldChar w:fldCharType="separate"/>
              </w:r>
              <w:r>
                <w:t>212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_Toc2126708129 </w:instrText>
              </w:r>
              <w:r>
                <w:rPr>
                  <w:bCs/>
                  <w:lang w:val="zh-CN"/>
                </w:rPr>
                <w:fldChar w:fldCharType="separate"/>
              </w:r>
              <w:r>
                <w:rPr>
                  <w:rFonts w:hint="eastAsia" w:ascii="仿宋" w:hAnsi="仿宋" w:eastAsia="仿宋" w:cs="仿宋"/>
                  <w:szCs w:val="32"/>
                </w:rPr>
                <w:t>10.1.2 承兑信用信息披露</w:t>
              </w:r>
              <w:r>
                <w:tab/>
              </w:r>
              <w:r>
                <w:fldChar w:fldCharType="begin"/>
              </w:r>
              <w:r>
                <w:instrText xml:space="preserve"> PAGEREF _Toc2126708129 </w:instrText>
              </w:r>
              <w:r>
                <w:fldChar w:fldCharType="separate"/>
              </w:r>
              <w:r>
                <w:t>212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_Toc1094803599 </w:instrText>
              </w:r>
              <w:r>
                <w:rPr>
                  <w:bCs/>
                  <w:lang w:val="zh-CN"/>
                </w:rPr>
                <w:fldChar w:fldCharType="separate"/>
              </w:r>
              <w:r>
                <w:rPr>
                  <w:rFonts w:hint="eastAsia" w:ascii="仿宋" w:hAnsi="仿宋" w:eastAsia="仿宋" w:cs="仿宋"/>
                  <w:szCs w:val="32"/>
                </w:rPr>
                <w:t>10.1.3 系统自动披露</w:t>
              </w:r>
              <w:r>
                <w:tab/>
              </w:r>
              <w:r>
                <w:fldChar w:fldCharType="begin"/>
              </w:r>
              <w:r>
                <w:instrText xml:space="preserve"> PAGEREF _Toc1094803599 </w:instrText>
              </w:r>
              <w:r>
                <w:fldChar w:fldCharType="separate"/>
              </w:r>
              <w:r>
                <w:t>213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_Toc1505410573 </w:instrText>
              </w:r>
              <w:r>
                <w:rPr>
                  <w:bCs/>
                  <w:lang w:val="zh-CN"/>
                </w:rPr>
                <w:fldChar w:fldCharType="separate"/>
              </w:r>
              <w:r>
                <w:rPr>
                  <w:rFonts w:hint="eastAsia" w:ascii="仿宋" w:hAnsi="仿宋" w:eastAsia="仿宋" w:cs="仿宋"/>
                  <w:szCs w:val="32"/>
                </w:rPr>
                <w:t>10.2 披露查询</w:t>
              </w:r>
              <w:r>
                <w:tab/>
              </w:r>
              <w:r>
                <w:fldChar w:fldCharType="begin"/>
              </w:r>
              <w:r>
                <w:instrText xml:space="preserve"> PAGEREF _Toc1505410573 </w:instrText>
              </w:r>
              <w:r>
                <w:fldChar w:fldCharType="separate"/>
              </w:r>
              <w:r>
                <w:t>214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_Toc1743968493 </w:instrText>
              </w:r>
              <w:r>
                <w:rPr>
                  <w:bCs/>
                  <w:lang w:val="zh-CN"/>
                </w:rPr>
                <w:fldChar w:fldCharType="separate"/>
              </w:r>
              <w:r>
                <w:rPr>
                  <w:rFonts w:hint="eastAsia" w:ascii="仿宋" w:hAnsi="仿宋" w:eastAsia="仿宋" w:cs="仿宋"/>
                  <w:szCs w:val="32"/>
                </w:rPr>
                <w:t>10.2.1 票据承兑信息披露查询</w:t>
              </w:r>
              <w:r>
                <w:tab/>
              </w:r>
              <w:r>
                <w:fldChar w:fldCharType="begin"/>
              </w:r>
              <w:r>
                <w:instrText xml:space="preserve"> PAGEREF _Toc1743968493 </w:instrText>
              </w:r>
              <w:r>
                <w:fldChar w:fldCharType="separate"/>
              </w:r>
              <w:r>
                <w:t>214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_Toc242424395 </w:instrText>
              </w:r>
              <w:r>
                <w:rPr>
                  <w:bCs/>
                  <w:lang w:val="zh-CN"/>
                </w:rPr>
                <w:fldChar w:fldCharType="separate"/>
              </w:r>
              <w:r>
                <w:rPr>
                  <w:rFonts w:hint="eastAsia" w:ascii="仿宋" w:hAnsi="仿宋" w:eastAsia="仿宋" w:cs="仿宋"/>
                  <w:szCs w:val="32"/>
                </w:rPr>
                <w:t>10.2.2 票据承兑信用信息披露查询</w:t>
              </w:r>
              <w:r>
                <w:tab/>
              </w:r>
              <w:r>
                <w:fldChar w:fldCharType="begin"/>
              </w:r>
              <w:r>
                <w:instrText xml:space="preserve"> PAGEREF _Toc242424395 </w:instrText>
              </w:r>
              <w:r>
                <w:fldChar w:fldCharType="separate"/>
              </w:r>
              <w:r>
                <w:t>214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_Toc1681671714 </w:instrText>
              </w:r>
              <w:r>
                <w:rPr>
                  <w:bCs/>
                  <w:lang w:val="zh-CN"/>
                </w:rPr>
                <w:fldChar w:fldCharType="separate"/>
              </w:r>
              <w:r>
                <w:rPr>
                  <w:rFonts w:hint="eastAsia" w:ascii="仿宋" w:hAnsi="仿宋" w:eastAsia="仿宋" w:cs="仿宋"/>
                  <w:szCs w:val="32"/>
                </w:rPr>
                <w:t>10.2.3 金融机构批量查询票据承兑信息</w:t>
              </w:r>
              <w:r>
                <w:tab/>
              </w:r>
              <w:r>
                <w:fldChar w:fldCharType="begin"/>
              </w:r>
              <w:r>
                <w:instrText xml:space="preserve"> PAGEREF _Toc1681671714 </w:instrText>
              </w:r>
              <w:r>
                <w:fldChar w:fldCharType="separate"/>
              </w:r>
              <w:r>
                <w:t>214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_Toc809939378 </w:instrText>
              </w:r>
              <w:r>
                <w:rPr>
                  <w:bCs/>
                  <w:lang w:val="zh-CN"/>
                </w:rPr>
                <w:fldChar w:fldCharType="separate"/>
              </w:r>
              <w:r>
                <w:rPr>
                  <w:rFonts w:hint="eastAsia" w:ascii="仿宋" w:hAnsi="仿宋" w:eastAsia="仿宋" w:cs="仿宋"/>
                  <w:szCs w:val="32"/>
                </w:rPr>
                <w:t>10.3 平台用户信息核对与修改</w:t>
              </w:r>
              <w:r>
                <w:tab/>
              </w:r>
              <w:r>
                <w:fldChar w:fldCharType="begin"/>
              </w:r>
              <w:r>
                <w:instrText xml:space="preserve"> PAGEREF _Toc809939378 </w:instrText>
              </w:r>
              <w:r>
                <w:fldChar w:fldCharType="separate"/>
              </w:r>
              <w:r>
                <w:t>215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_Toc220722953 </w:instrText>
              </w:r>
              <w:r>
                <w:rPr>
                  <w:bCs/>
                  <w:lang w:val="zh-CN"/>
                </w:rPr>
                <w:fldChar w:fldCharType="separate"/>
              </w:r>
              <w:r>
                <w:rPr>
                  <w:rFonts w:hint="eastAsia" w:ascii="仿宋" w:hAnsi="仿宋" w:eastAsia="仿宋" w:cs="仿宋"/>
                  <w:bCs/>
                  <w:kern w:val="44"/>
                  <w:szCs w:val="40"/>
                </w:rPr>
                <w:t>附</w:t>
              </w:r>
              <w:r>
                <w:rPr>
                  <w:rFonts w:hint="eastAsia" w:ascii="仿宋" w:hAnsi="仿宋" w:eastAsia="仿宋" w:cs="仿宋"/>
                  <w:bCs/>
                  <w:kern w:val="44"/>
                  <w:szCs w:val="40"/>
                  <w:lang w:val="en-US" w:eastAsia="zh-CN"/>
                </w:rPr>
                <w:t xml:space="preserve">  </w:t>
              </w:r>
              <w:r>
                <w:rPr>
                  <w:rFonts w:hint="eastAsia" w:ascii="仿宋" w:hAnsi="仿宋" w:eastAsia="仿宋" w:cs="仿宋"/>
                  <w:bCs/>
                  <w:kern w:val="44"/>
                  <w:szCs w:val="40"/>
                </w:rPr>
                <w:t>件</w:t>
              </w:r>
              <w:r>
                <w:tab/>
              </w:r>
              <w:r>
                <w:fldChar w:fldCharType="begin"/>
              </w:r>
              <w:r>
                <w:instrText xml:space="preserve"> PAGEREF _Toc220722953 </w:instrText>
              </w:r>
              <w:r>
                <w:fldChar w:fldCharType="separate"/>
              </w:r>
              <w:r>
                <w:t>217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_Toc406517250 </w:instrText>
              </w:r>
              <w:r>
                <w:rPr>
                  <w:bCs/>
                  <w:lang w:val="zh-CN"/>
                </w:rPr>
                <w:fldChar w:fldCharType="separate"/>
              </w:r>
              <w:r>
                <w:rPr>
                  <w:rFonts w:hint="eastAsia" w:ascii="仿宋" w:hAnsi="仿宋" w:eastAsia="仿宋" w:cs="仿宋"/>
                  <w:bCs w:val="0"/>
                </w:rPr>
                <w:t>附件1：</w:t>
              </w:r>
              <w:r>
                <w:rPr>
                  <w:rFonts w:hint="eastAsia" w:ascii="仿宋" w:hAnsi="仿宋" w:eastAsia="仿宋" w:cs="仿宋"/>
                  <w:szCs w:val="32"/>
                </w:rPr>
                <w:t>票据业务承诺函</w:t>
              </w:r>
              <w:r>
                <w:tab/>
              </w:r>
              <w:r>
                <w:fldChar w:fldCharType="begin"/>
              </w:r>
              <w:r>
                <w:instrText xml:space="preserve"> PAGEREF _Toc406517250 </w:instrText>
              </w:r>
              <w:r>
                <w:fldChar w:fldCharType="separate"/>
              </w:r>
              <w:r>
                <w:t>218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_Toc1212380535 </w:instrText>
              </w:r>
              <w:r>
                <w:rPr>
                  <w:bCs/>
                  <w:lang w:val="zh-CN"/>
                </w:rPr>
                <w:fldChar w:fldCharType="separate"/>
              </w:r>
              <w:r>
                <w:rPr>
                  <w:rFonts w:hint="eastAsia" w:ascii="仿宋" w:hAnsi="仿宋" w:eastAsia="仿宋" w:cs="仿宋"/>
                  <w:bCs w:val="0"/>
                </w:rPr>
                <w:t>附件2：</w:t>
              </w:r>
              <w:r>
                <w:rPr>
                  <w:rFonts w:hint="eastAsia" w:ascii="仿宋" w:hAnsi="仿宋" w:eastAsia="仿宋" w:cs="仿宋"/>
                  <w:szCs w:val="32"/>
                </w:rPr>
                <w:t>票据包信息展示格式标准说明</w:t>
              </w:r>
              <w:r>
                <w:tab/>
              </w:r>
              <w:r>
                <w:fldChar w:fldCharType="begin"/>
              </w:r>
              <w:r>
                <w:instrText xml:space="preserve"> PAGEREF _Toc1212380535 </w:instrText>
              </w:r>
              <w:r>
                <w:fldChar w:fldCharType="separate"/>
              </w:r>
              <w:r>
                <w:t>220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_Toc1940130699 </w:instrText>
              </w:r>
              <w:r>
                <w:rPr>
                  <w:bCs/>
                  <w:lang w:val="zh-CN"/>
                </w:rPr>
                <w:fldChar w:fldCharType="separate"/>
              </w:r>
              <w:r>
                <w:rPr>
                  <w:rFonts w:hint="eastAsia" w:ascii="仿宋" w:hAnsi="仿宋" w:eastAsia="仿宋" w:cs="仿宋"/>
                  <w:bCs w:val="0"/>
                </w:rPr>
                <w:t>附件3：</w:t>
              </w:r>
              <w:r>
                <w:rPr>
                  <w:rFonts w:hint="eastAsia" w:ascii="仿宋" w:hAnsi="仿宋" w:eastAsia="仿宋" w:cs="仿宋"/>
                  <w:szCs w:val="32"/>
                  <w:lang w:bidi="ar"/>
                </w:rPr>
                <w:t>上海票据交易所参与者</w:t>
              </w:r>
              <w:r>
                <w:rPr>
                  <w:rFonts w:hint="eastAsia" w:ascii="仿宋" w:hAnsi="仿宋" w:eastAsia="仿宋" w:cs="仿宋"/>
                  <w:szCs w:val="32"/>
                  <w:lang w:eastAsia="zh-CN" w:bidi="ar"/>
                </w:rPr>
                <w:t>加入</w:t>
              </w:r>
              <w:r>
                <w:rPr>
                  <w:rFonts w:hint="eastAsia" w:ascii="仿宋" w:hAnsi="仿宋" w:eastAsia="仿宋" w:cs="仿宋"/>
                  <w:szCs w:val="32"/>
                  <w:lang w:bidi="ar"/>
                </w:rPr>
                <w:t>申请表</w:t>
              </w:r>
              <w:r>
                <w:tab/>
              </w:r>
              <w:r>
                <w:fldChar w:fldCharType="begin"/>
              </w:r>
              <w:r>
                <w:instrText xml:space="preserve"> PAGEREF _Toc1940130699 </w:instrText>
              </w:r>
              <w:r>
                <w:fldChar w:fldCharType="separate"/>
              </w:r>
              <w:r>
                <w:t>248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_Toc1962128250 </w:instrText>
              </w:r>
              <w:r>
                <w:rPr>
                  <w:bCs/>
                  <w:lang w:val="zh-CN"/>
                </w:rPr>
                <w:fldChar w:fldCharType="separate"/>
              </w:r>
              <w:r>
                <w:rPr>
                  <w:rFonts w:hint="eastAsia" w:ascii="仿宋" w:hAnsi="仿宋" w:eastAsia="仿宋" w:cs="仿宋"/>
                  <w:bCs w:val="0"/>
                </w:rPr>
                <w:t>附件4：</w:t>
              </w:r>
              <w:r>
                <w:rPr>
                  <w:rFonts w:hint="eastAsia" w:ascii="仿宋" w:hAnsi="仿宋" w:eastAsia="仿宋" w:cs="仿宋"/>
                  <w:szCs w:val="32"/>
                  <w:lang w:bidi="ar"/>
                </w:rPr>
                <w:t>未使用基本存款账户情况说明</w:t>
              </w:r>
              <w:r>
                <w:tab/>
              </w:r>
              <w:r>
                <w:fldChar w:fldCharType="begin"/>
              </w:r>
              <w:r>
                <w:instrText xml:space="preserve"> PAGEREF _Toc1962128250 </w:instrText>
              </w:r>
              <w:r>
                <w:fldChar w:fldCharType="separate"/>
              </w:r>
              <w:r>
                <w:t>250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_Toc1566950455 </w:instrText>
              </w:r>
              <w:r>
                <w:rPr>
                  <w:bCs/>
                  <w:lang w:val="zh-CN"/>
                </w:rPr>
                <w:fldChar w:fldCharType="separate"/>
              </w:r>
              <w:r>
                <w:rPr>
                  <w:rFonts w:hint="eastAsia" w:ascii="仿宋" w:hAnsi="仿宋" w:eastAsia="仿宋" w:cs="仿宋"/>
                  <w:bCs w:val="0"/>
                </w:rPr>
                <w:t>附件5：</w:t>
              </w:r>
              <w:r>
                <w:rPr>
                  <w:rFonts w:hint="eastAsia" w:ascii="仿宋" w:hAnsi="仿宋" w:eastAsia="仿宋" w:cs="仿宋"/>
                  <w:szCs w:val="32"/>
                  <w:lang w:bidi="ar"/>
                </w:rPr>
                <w:t>法人机构主体变更申请书</w:t>
              </w:r>
              <w:r>
                <w:tab/>
              </w:r>
              <w:r>
                <w:fldChar w:fldCharType="begin"/>
              </w:r>
              <w:r>
                <w:instrText xml:space="preserve"> PAGEREF _Toc1566950455 </w:instrText>
              </w:r>
              <w:r>
                <w:fldChar w:fldCharType="separate"/>
              </w:r>
              <w:r>
                <w:t>251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_Toc61413054 </w:instrText>
              </w:r>
              <w:r>
                <w:rPr>
                  <w:bCs/>
                  <w:lang w:val="zh-CN"/>
                </w:rPr>
                <w:fldChar w:fldCharType="separate"/>
              </w:r>
              <w:r>
                <w:rPr>
                  <w:rFonts w:hint="eastAsia" w:ascii="仿宋" w:hAnsi="仿宋" w:eastAsia="仿宋" w:cs="仿宋"/>
                  <w:bCs w:val="0"/>
                </w:rPr>
                <w:t>附件6：</w:t>
              </w:r>
              <w:r>
                <w:rPr>
                  <w:rFonts w:hint="eastAsia" w:ascii="仿宋" w:hAnsi="仿宋" w:eastAsia="仿宋" w:cs="仿宋"/>
                  <w:szCs w:val="32"/>
                  <w:lang w:bidi="ar"/>
                </w:rPr>
                <w:t>业务承接申请书</w:t>
              </w:r>
              <w:r>
                <w:tab/>
              </w:r>
              <w:r>
                <w:fldChar w:fldCharType="begin"/>
              </w:r>
              <w:r>
                <w:instrText xml:space="preserve"> PAGEREF _Toc61413054 </w:instrText>
              </w:r>
              <w:r>
                <w:fldChar w:fldCharType="separate"/>
              </w:r>
              <w:r>
                <w:t>252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_Toc1403145557 </w:instrText>
              </w:r>
              <w:r>
                <w:rPr>
                  <w:bCs/>
                  <w:lang w:val="zh-CN"/>
                </w:rPr>
                <w:fldChar w:fldCharType="separate"/>
              </w:r>
              <w:r>
                <w:rPr>
                  <w:rFonts w:hint="eastAsia" w:ascii="仿宋" w:hAnsi="仿宋" w:eastAsia="仿宋" w:cs="仿宋"/>
                  <w:bCs w:val="0"/>
                </w:rPr>
                <w:t>附件7：</w:t>
              </w:r>
              <w:r>
                <w:rPr>
                  <w:rFonts w:hint="eastAsia" w:ascii="仿宋" w:hAnsi="仿宋" w:eastAsia="仿宋" w:cs="仿宋"/>
                  <w:szCs w:val="32"/>
                  <w:lang w:bidi="ar"/>
                </w:rPr>
                <w:t>人民银行清算账户使用授权书</w:t>
              </w:r>
              <w:r>
                <w:tab/>
              </w:r>
              <w:r>
                <w:fldChar w:fldCharType="begin"/>
              </w:r>
              <w:r>
                <w:instrText xml:space="preserve"> PAGEREF _Toc1403145557 </w:instrText>
              </w:r>
              <w:r>
                <w:fldChar w:fldCharType="separate"/>
              </w:r>
              <w:r>
                <w:t>253</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_Toc793322900 </w:instrText>
              </w:r>
              <w:r>
                <w:rPr>
                  <w:bCs/>
                  <w:lang w:val="zh-CN"/>
                </w:rPr>
                <w:fldChar w:fldCharType="separate"/>
              </w:r>
              <w:r>
                <w:rPr>
                  <w:rFonts w:hint="eastAsia" w:ascii="仿宋" w:hAnsi="仿宋" w:eastAsia="仿宋" w:cs="仿宋"/>
                  <w:bCs w:val="0"/>
                  <w:lang w:bidi="ar"/>
                </w:rPr>
                <w:t>附件8：</w:t>
              </w:r>
              <w:r>
                <w:rPr>
                  <w:rFonts w:hint="eastAsia" w:ascii="仿宋" w:hAnsi="仿宋" w:eastAsia="仿宋" w:cs="仿宋"/>
                  <w:szCs w:val="32"/>
                  <w:lang w:bidi="ar"/>
                </w:rPr>
                <w:t>上海票据交易所参与者变更申请表</w:t>
              </w:r>
              <w:r>
                <w:tab/>
              </w:r>
              <w:r>
                <w:fldChar w:fldCharType="begin"/>
              </w:r>
              <w:r>
                <w:instrText xml:space="preserve"> PAGEREF _Toc793322900 </w:instrText>
              </w:r>
              <w:r>
                <w:fldChar w:fldCharType="separate"/>
              </w:r>
              <w:r>
                <w:t>254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_Toc1784606028 </w:instrText>
              </w:r>
              <w:r>
                <w:rPr>
                  <w:bCs/>
                  <w:lang w:val="zh-CN"/>
                </w:rPr>
                <w:fldChar w:fldCharType="separate"/>
              </w:r>
              <w:r>
                <w:rPr>
                  <w:rFonts w:hint="eastAsia" w:ascii="仿宋" w:hAnsi="仿宋" w:eastAsia="仿宋" w:cs="仿宋"/>
                  <w:bCs w:val="0"/>
                  <w:lang w:bidi="ar"/>
                </w:rPr>
                <w:t>附件9：</w:t>
              </w:r>
              <w:r>
                <w:rPr>
                  <w:rFonts w:hint="eastAsia" w:ascii="仿宋" w:hAnsi="仿宋" w:eastAsia="仿宋" w:cs="仿宋"/>
                  <w:szCs w:val="32"/>
                  <w:lang w:bidi="ar"/>
                </w:rPr>
                <w:t>上海票据交易所参与者退出申请表</w:t>
              </w:r>
              <w:r>
                <w:tab/>
              </w:r>
              <w:r>
                <w:fldChar w:fldCharType="begin"/>
              </w:r>
              <w:r>
                <w:instrText xml:space="preserve"> PAGEREF _Toc1784606028 </w:instrText>
              </w:r>
              <w:r>
                <w:fldChar w:fldCharType="separate"/>
              </w:r>
              <w:r>
                <w:t>256</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_Toc295260548 </w:instrText>
              </w:r>
              <w:r>
                <w:rPr>
                  <w:bCs/>
                  <w:lang w:val="zh-CN"/>
                </w:rPr>
                <w:fldChar w:fldCharType="separate"/>
              </w:r>
              <w:r>
                <w:rPr>
                  <w:rFonts w:hint="eastAsia" w:ascii="仿宋" w:hAnsi="仿宋" w:eastAsia="仿宋" w:cs="仿宋"/>
                  <w:bCs w:val="0"/>
                  <w:lang w:bidi="ar"/>
                </w:rPr>
                <w:t>附件10：</w:t>
              </w:r>
              <w:r>
                <w:rPr>
                  <w:rFonts w:hint="eastAsia" w:ascii="仿宋" w:hAnsi="仿宋" w:eastAsia="仿宋" w:cs="仿宋"/>
                  <w:szCs w:val="32"/>
                  <w:lang w:bidi="ar"/>
                </w:rPr>
                <w:t>供应链票据业务上线申报表</w:t>
              </w:r>
              <w:r>
                <w:tab/>
              </w:r>
              <w:r>
                <w:fldChar w:fldCharType="begin"/>
              </w:r>
              <w:r>
                <w:instrText xml:space="preserve"> PAGEREF _Toc295260548 </w:instrText>
              </w:r>
              <w:r>
                <w:fldChar w:fldCharType="separate"/>
              </w:r>
              <w:r>
                <w:t>258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_Toc1256470248 </w:instrText>
              </w:r>
              <w:r>
                <w:rPr>
                  <w:bCs/>
                  <w:lang w:val="zh-CN"/>
                </w:rPr>
                <w:fldChar w:fldCharType="separate"/>
              </w:r>
              <w:r>
                <w:rPr>
                  <w:rFonts w:hint="eastAsia" w:ascii="仿宋" w:hAnsi="仿宋" w:eastAsia="仿宋" w:cs="仿宋"/>
                  <w:bCs w:val="0"/>
                  <w:szCs w:val="32"/>
                  <w:lang w:bidi="ar"/>
                </w:rPr>
                <w:t>附</w:t>
              </w:r>
              <w:r>
                <w:rPr>
                  <w:rFonts w:hint="eastAsia" w:ascii="仿宋" w:hAnsi="仿宋" w:eastAsia="仿宋" w:cs="仿宋"/>
                  <w:bCs w:val="0"/>
                  <w:szCs w:val="32"/>
                  <w:lang w:val="en-US" w:eastAsia="zh-CN" w:bidi="ar"/>
                </w:rPr>
                <w:t>件11：</w:t>
              </w:r>
              <w:r>
                <w:rPr>
                  <w:rFonts w:hint="eastAsia" w:ascii="仿宋" w:hAnsi="仿宋" w:eastAsia="仿宋" w:cs="仿宋"/>
                  <w:lang w:val="en-US" w:eastAsia="zh-CN" w:bidi="ar"/>
                </w:rPr>
                <w:t>“票付通”业务上线申报表</w:t>
              </w:r>
              <w:r>
                <w:tab/>
              </w:r>
              <w:r>
                <w:fldChar w:fldCharType="begin"/>
              </w:r>
              <w:r>
                <w:instrText xml:space="preserve"> PAGEREF _Toc1256470248 </w:instrText>
              </w:r>
              <w:r>
                <w:fldChar w:fldCharType="separate"/>
              </w:r>
              <w:r>
                <w:t>259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_Toc701777798 </w:instrText>
              </w:r>
              <w:r>
                <w:rPr>
                  <w:bCs/>
                  <w:lang w:val="zh-CN"/>
                </w:rPr>
                <w:fldChar w:fldCharType="separate"/>
              </w:r>
              <w:r>
                <w:rPr>
                  <w:rFonts w:hint="eastAsia" w:ascii="仿宋" w:hAnsi="仿宋" w:eastAsia="仿宋" w:cs="仿宋"/>
                  <w:bCs w:val="0"/>
                  <w:lang w:eastAsia="zh-CN" w:bidi="ar"/>
                </w:rPr>
                <w:t>附件12</w:t>
              </w:r>
              <w:r>
                <w:rPr>
                  <w:rFonts w:hint="eastAsia" w:ascii="仿宋" w:hAnsi="仿宋" w:eastAsia="仿宋" w:cs="仿宋"/>
                  <w:bCs w:val="0"/>
                  <w:lang w:bidi="ar"/>
                </w:rPr>
                <w:t>：贴现通业务授权承诺书（线上贴现模板）</w:t>
              </w:r>
              <w:r>
                <w:tab/>
              </w:r>
              <w:r>
                <w:fldChar w:fldCharType="begin"/>
              </w:r>
              <w:r>
                <w:instrText xml:space="preserve"> PAGEREF _Toc701777798 </w:instrText>
              </w:r>
              <w:r>
                <w:fldChar w:fldCharType="separate"/>
              </w:r>
              <w:r>
                <w:t>260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_Toc1659442294 </w:instrText>
              </w:r>
              <w:r>
                <w:rPr>
                  <w:bCs/>
                  <w:lang w:val="zh-CN"/>
                </w:rPr>
                <w:fldChar w:fldCharType="separate"/>
              </w:r>
              <w:r>
                <w:rPr>
                  <w:rFonts w:hint="eastAsia" w:ascii="仿宋" w:hAnsi="仿宋" w:eastAsia="仿宋" w:cs="仿宋"/>
                  <w:bCs w:val="0"/>
                  <w:lang w:eastAsia="zh-CN" w:bidi="ar"/>
                </w:rPr>
                <w:t>附件13</w:t>
              </w:r>
              <w:r>
                <w:rPr>
                  <w:rFonts w:hint="eastAsia" w:ascii="仿宋" w:hAnsi="仿宋" w:eastAsia="仿宋" w:cs="仿宋"/>
                  <w:bCs w:val="0"/>
                  <w:lang w:bidi="ar"/>
                </w:rPr>
                <w:t>：线上贴现授权承诺书（供应链平台模板）</w:t>
              </w:r>
              <w:r>
                <w:tab/>
              </w:r>
              <w:r>
                <w:fldChar w:fldCharType="begin"/>
              </w:r>
              <w:r>
                <w:instrText xml:space="preserve"> PAGEREF _Toc1659442294 </w:instrText>
              </w:r>
              <w:r>
                <w:fldChar w:fldCharType="separate"/>
              </w:r>
              <w:r>
                <w:t>264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_Toc904428969 </w:instrText>
              </w:r>
              <w:r>
                <w:rPr>
                  <w:bCs/>
                  <w:lang w:val="zh-CN"/>
                </w:rPr>
                <w:fldChar w:fldCharType="separate"/>
              </w:r>
              <w:r>
                <w:rPr>
                  <w:rFonts w:hint="eastAsia" w:ascii="仿宋" w:hAnsi="仿宋" w:eastAsia="仿宋" w:cs="仿宋"/>
                  <w:bCs w:val="0"/>
                  <w:lang w:eastAsia="zh-CN" w:bidi="ar"/>
                </w:rPr>
                <w:t>附件14</w:t>
              </w:r>
              <w:r>
                <w:rPr>
                  <w:rFonts w:hint="eastAsia" w:ascii="仿宋" w:hAnsi="仿宋" w:eastAsia="仿宋" w:cs="仿宋"/>
                  <w:bCs w:val="0"/>
                  <w:lang w:bidi="ar"/>
                </w:rPr>
                <w:t>：</w:t>
              </w:r>
              <w:r>
                <w:rPr>
                  <w:rFonts w:hint="eastAsia" w:ascii="仿宋" w:hAnsi="仿宋" w:eastAsia="仿宋" w:cs="仿宋"/>
                  <w:szCs w:val="32"/>
                  <w:lang w:bidi="ar"/>
                </w:rPr>
                <w:t>线上贴现意向成交单样式</w:t>
              </w:r>
              <w:r>
                <w:tab/>
              </w:r>
              <w:r>
                <w:fldChar w:fldCharType="begin"/>
              </w:r>
              <w:r>
                <w:instrText xml:space="preserve"> PAGEREF _Toc904428969 </w:instrText>
              </w:r>
              <w:r>
                <w:fldChar w:fldCharType="separate"/>
              </w:r>
              <w:r>
                <w:t>268</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_Toc1037975919 </w:instrText>
              </w:r>
              <w:r>
                <w:rPr>
                  <w:bCs/>
                  <w:lang w:val="zh-CN"/>
                </w:rPr>
                <w:fldChar w:fldCharType="separate"/>
              </w:r>
              <w:r>
                <w:rPr>
                  <w:rFonts w:hint="eastAsia" w:ascii="仿宋" w:hAnsi="仿宋" w:eastAsia="仿宋" w:cs="仿宋"/>
                  <w:bCs w:val="0"/>
                  <w:lang w:eastAsia="zh-CN" w:bidi="ar"/>
                </w:rPr>
                <w:t>附件15</w:t>
              </w:r>
              <w:r>
                <w:rPr>
                  <w:rFonts w:hint="eastAsia" w:ascii="仿宋" w:hAnsi="仿宋" w:eastAsia="仿宋" w:cs="仿宋"/>
                  <w:bCs w:val="0"/>
                  <w:lang w:bidi="ar"/>
                </w:rPr>
                <w:t>：</w:t>
              </w:r>
              <w:r>
                <w:rPr>
                  <w:rFonts w:hint="eastAsia" w:ascii="仿宋" w:hAnsi="仿宋" w:eastAsia="仿宋" w:cs="仿宋"/>
                  <w:szCs w:val="32"/>
                  <w:lang w:bidi="ar"/>
                </w:rPr>
                <w:t>线上贴现结算交割单样式</w:t>
              </w:r>
              <w:r>
                <w:tab/>
              </w:r>
              <w:r>
                <w:fldChar w:fldCharType="begin"/>
              </w:r>
              <w:r>
                <w:instrText xml:space="preserve"> PAGEREF _Toc1037975919 </w:instrText>
              </w:r>
              <w:r>
                <w:fldChar w:fldCharType="separate"/>
              </w:r>
              <w:r>
                <w:t>269</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_Toc1915456775 </w:instrText>
              </w:r>
              <w:r>
                <w:rPr>
                  <w:bCs/>
                  <w:lang w:val="zh-CN"/>
                </w:rPr>
                <w:fldChar w:fldCharType="separate"/>
              </w:r>
              <w:r>
                <w:rPr>
                  <w:rFonts w:hint="eastAsia" w:ascii="仿宋" w:hAnsi="仿宋" w:eastAsia="仿宋" w:cs="仿宋"/>
                  <w:bCs w:val="0"/>
                  <w:lang w:eastAsia="zh-CN" w:bidi="ar"/>
                </w:rPr>
                <w:t>附件16</w:t>
              </w:r>
              <w:r>
                <w:rPr>
                  <w:rFonts w:hint="eastAsia" w:ascii="仿宋" w:hAnsi="仿宋" w:eastAsia="仿宋" w:cs="仿宋"/>
                  <w:bCs w:val="0"/>
                  <w:lang w:bidi="ar"/>
                </w:rPr>
                <w:t>：</w:t>
              </w:r>
              <w:r>
                <w:rPr>
                  <w:rFonts w:hint="eastAsia" w:ascii="仿宋" w:hAnsi="仿宋" w:eastAsia="仿宋" w:cs="仿宋"/>
                  <w:lang w:bidi="ar"/>
                </w:rPr>
                <w:t>交易要素及相关解释说明</w:t>
              </w:r>
              <w:r>
                <w:tab/>
              </w:r>
              <w:r>
                <w:fldChar w:fldCharType="begin"/>
              </w:r>
              <w:r>
                <w:instrText xml:space="preserve"> PAGEREF _Toc1915456775 </w:instrText>
              </w:r>
              <w:r>
                <w:fldChar w:fldCharType="separate"/>
              </w:r>
              <w:r>
                <w:t>270</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_Toc1504782250 </w:instrText>
              </w:r>
              <w:r>
                <w:rPr>
                  <w:bCs/>
                  <w:lang w:val="zh-CN"/>
                </w:rPr>
                <w:fldChar w:fldCharType="separate"/>
              </w:r>
              <w:r>
                <w:rPr>
                  <w:rFonts w:hint="eastAsia" w:ascii="仿宋" w:hAnsi="仿宋" w:eastAsia="仿宋" w:cs="仿宋"/>
                  <w:bCs w:val="0"/>
                  <w:lang w:eastAsia="zh-CN" w:bidi="ar"/>
                </w:rPr>
                <w:t>附件17</w:t>
              </w:r>
              <w:r>
                <w:rPr>
                  <w:rFonts w:hint="eastAsia" w:ascii="仿宋" w:hAnsi="仿宋" w:eastAsia="仿宋" w:cs="仿宋"/>
                  <w:bCs w:val="0"/>
                  <w:lang w:bidi="ar"/>
                </w:rPr>
                <w:t>：</w:t>
              </w:r>
              <w:r>
                <w:rPr>
                  <w:rFonts w:hint="eastAsia" w:ascii="仿宋" w:hAnsi="仿宋" w:eastAsia="仿宋" w:cs="仿宋"/>
                  <w:bCs w:val="0"/>
                  <w:lang w:eastAsia="zh-CN" w:bidi="ar"/>
                </w:rPr>
                <w:t>交易成交单模板</w:t>
              </w:r>
              <w:r>
                <w:tab/>
              </w:r>
              <w:r>
                <w:fldChar w:fldCharType="begin"/>
              </w:r>
              <w:r>
                <w:instrText xml:space="preserve"> PAGEREF _Toc1504782250 </w:instrText>
              </w:r>
              <w:r>
                <w:fldChar w:fldCharType="separate"/>
              </w:r>
              <w:r>
                <w:t>272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_Toc983057067 </w:instrText>
              </w:r>
              <w:r>
                <w:rPr>
                  <w:bCs/>
                  <w:lang w:val="zh-CN"/>
                </w:rPr>
                <w:fldChar w:fldCharType="separate"/>
              </w:r>
              <w:r>
                <w:rPr>
                  <w:rFonts w:hint="eastAsia" w:ascii="仿宋" w:hAnsi="仿宋" w:eastAsia="仿宋" w:cs="仿宋"/>
                  <w:bCs w:val="0"/>
                  <w:lang w:eastAsia="zh-CN" w:bidi="ar"/>
                </w:rPr>
                <w:t>附件18</w:t>
              </w:r>
              <w:r>
                <w:rPr>
                  <w:rFonts w:hint="eastAsia" w:ascii="仿宋" w:hAnsi="仿宋" w:eastAsia="仿宋" w:cs="仿宋"/>
                  <w:bCs w:val="0"/>
                  <w:lang w:bidi="ar"/>
                </w:rPr>
                <w:t>：</w:t>
              </w:r>
              <w:r>
                <w:rPr>
                  <w:rFonts w:hint="eastAsia" w:ascii="仿宋" w:hAnsi="仿宋" w:eastAsia="仿宋" w:cs="仿宋"/>
                  <w:lang w:bidi="ar"/>
                </w:rPr>
                <w:t>上海票据交易所直接参与者账户函证及查询申请表</w:t>
              </w:r>
              <w:r>
                <w:tab/>
              </w:r>
              <w:r>
                <w:fldChar w:fldCharType="begin"/>
              </w:r>
              <w:r>
                <w:instrText xml:space="preserve"> PAGEREF _Toc983057067 </w:instrText>
              </w:r>
              <w:r>
                <w:fldChar w:fldCharType="separate"/>
              </w:r>
              <w:r>
                <w:t>275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_Toc629544717 </w:instrText>
              </w:r>
              <w:r>
                <w:rPr>
                  <w:bCs/>
                  <w:lang w:val="zh-CN"/>
                </w:rPr>
                <w:fldChar w:fldCharType="separate"/>
              </w:r>
              <w:r>
                <w:rPr>
                  <w:rFonts w:hint="eastAsia" w:ascii="仿宋" w:hAnsi="仿宋" w:eastAsia="仿宋" w:cs="仿宋"/>
                  <w:bCs w:val="0"/>
                  <w:lang w:eastAsia="zh-CN" w:bidi="ar"/>
                </w:rPr>
                <w:t>附件19</w:t>
              </w:r>
              <w:r>
                <w:rPr>
                  <w:rFonts w:hint="eastAsia" w:ascii="仿宋" w:hAnsi="仿宋" w:eastAsia="仿宋" w:cs="仿宋"/>
                  <w:bCs w:val="0"/>
                  <w:lang w:bidi="ar"/>
                </w:rPr>
                <w:t>：</w:t>
              </w:r>
              <w:r>
                <w:rPr>
                  <w:rFonts w:hint="eastAsia" w:ascii="仿宋" w:hAnsi="仿宋" w:eastAsia="仿宋" w:cs="仿宋"/>
                  <w:lang w:bidi="ar"/>
                </w:rPr>
                <w:t>伪假票据应急服务申请书</w:t>
              </w:r>
              <w:r>
                <w:tab/>
              </w:r>
              <w:r>
                <w:fldChar w:fldCharType="begin"/>
              </w:r>
              <w:r>
                <w:instrText xml:space="preserve"> PAGEREF _Toc629544717 </w:instrText>
              </w:r>
              <w:r>
                <w:fldChar w:fldCharType="separate"/>
              </w:r>
              <w:r>
                <w:t>277</w:t>
              </w:r>
              <w:r>
                <w:fldChar w:fldCharType="end"/>
              </w:r>
              <w:r>
                <w:rPr>
                  <w:bCs/>
                  <w:lang w:val="zh-CN"/>
                </w:rPr>
                <w:fldChar w:fldCharType="end"/>
              </w:r>
            </w:p>
            <w:p>
              <w:pPr>
                <w:pStyle w:val="33"/>
                <w:jc w:val="center"/>
              </w:pPr>
              <w:r>
                <w:rPr>
                  <w:bCs/>
                  <w:lang w:val="zh-CN"/>
                </w:rPr>
                <w:fldChar w:fldCharType="end"/>
              </w:r>
            </w:p>
          </w:sdtContent>
        </w:sdt>
        <w:p>
          <w:pPr>
            <w:pStyle w:val="33"/>
            <w:jc w:val="center"/>
          </w:pPr>
        </w:p>
      </w:sdtContent>
    </w:sdt>
    <w:p/>
    <w:p>
      <w:pPr>
        <w:spacing w:line="360" w:lineRule="exact"/>
        <w:rPr>
          <w:rFonts w:ascii="宋体" w:hAnsi="宋体" w:eastAsia="宋体"/>
        </w:rPr>
      </w:pPr>
    </w:p>
    <w:p>
      <w:pPr>
        <w:jc w:val="center"/>
        <w:rPr>
          <w:rFonts w:ascii="宋体" w:hAnsi="宋体" w:eastAsia="宋体"/>
        </w:rPr>
      </w:pPr>
      <w:r>
        <w:rPr>
          <w:rFonts w:ascii="宋体" w:hAnsi="宋体" w:eastAsia="宋体"/>
        </w:rPr>
        <w:br w:type="page"/>
      </w:r>
    </w:p>
    <w:p>
      <w:pPr>
        <w:pStyle w:val="2"/>
        <w:spacing w:line="240" w:lineRule="auto"/>
        <w:jc w:val="center"/>
        <w:rPr>
          <w:rFonts w:ascii="仿宋" w:hAnsi="仿宋" w:eastAsia="仿宋" w:cs="仿宋"/>
          <w:sz w:val="40"/>
          <w:szCs w:val="40"/>
        </w:rPr>
      </w:pPr>
      <w:bookmarkStart w:id="1" w:name="_Toc25242"/>
      <w:bookmarkStart w:id="2" w:name="_Toc28920"/>
      <w:bookmarkStart w:id="3" w:name="_Toc20665"/>
      <w:bookmarkStart w:id="4" w:name="_Toc7207"/>
      <w:bookmarkStart w:id="5" w:name="_Toc1625"/>
      <w:bookmarkStart w:id="6" w:name="_Toc7814"/>
      <w:bookmarkStart w:id="7" w:name="_Toc7689"/>
      <w:bookmarkStart w:id="8" w:name="_Toc20283"/>
      <w:bookmarkStart w:id="9" w:name="_Toc20674"/>
      <w:bookmarkStart w:id="10" w:name="_Toc27625"/>
      <w:bookmarkStart w:id="11" w:name="_Toc830810697"/>
      <w:bookmarkStart w:id="12" w:name="_Toc190"/>
      <w:bookmarkStart w:id="13" w:name="_Toc2724"/>
      <w:bookmarkStart w:id="14" w:name="_Toc11368"/>
      <w:bookmarkStart w:id="15" w:name="_Toc16499"/>
      <w:bookmarkStart w:id="16" w:name="_Toc28457"/>
      <w:bookmarkStart w:id="17" w:name="_Toc8008"/>
      <w:bookmarkStart w:id="18" w:name="_Toc21353"/>
      <w:r>
        <w:rPr>
          <w:rFonts w:hint="eastAsia" w:ascii="仿宋" w:hAnsi="仿宋" w:eastAsia="仿宋" w:cs="仿宋"/>
          <w:sz w:val="40"/>
          <w:szCs w:val="40"/>
        </w:rPr>
        <w:t>前 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numPr>
          <w:ilvl w:val="255"/>
          <w:numId w:val="0"/>
        </w:numPr>
        <w:tabs>
          <w:tab w:val="left" w:pos="2696"/>
        </w:tabs>
        <w:spacing w:line="590" w:lineRule="exact"/>
        <w:ind w:firstLine="640" w:firstLineChars="200"/>
        <w:rPr>
          <w:rFonts w:ascii="仿宋" w:hAnsi="仿宋" w:eastAsia="仿宋" w:cs="仿宋"/>
          <w:sz w:val="32"/>
          <w:szCs w:val="32"/>
        </w:rPr>
      </w:pPr>
      <w:bookmarkStart w:id="19" w:name="_Toc22265"/>
      <w:bookmarkStart w:id="20" w:name="_Toc12742"/>
      <w:bookmarkStart w:id="21" w:name="_Toc17732"/>
      <w:bookmarkStart w:id="22" w:name="_Toc21389"/>
      <w:bookmarkStart w:id="23" w:name="_Toc11554"/>
      <w:bookmarkStart w:id="24" w:name="_Toc20662"/>
      <w:bookmarkStart w:id="25" w:name="_Toc2074"/>
      <w:bookmarkStart w:id="26" w:name="_Toc25541"/>
      <w:bookmarkStart w:id="27" w:name="_Toc26357"/>
      <w:r>
        <w:rPr>
          <w:rFonts w:hint="eastAsia" w:ascii="仿宋" w:hAnsi="仿宋" w:eastAsia="仿宋" w:cs="仿宋"/>
          <w:sz w:val="32"/>
          <w:szCs w:val="32"/>
        </w:rPr>
        <w:t xml:space="preserve">上海票据交易所（以下简称票交所）是按照国务院决策部署，由中国人民银行批准设立的全国统一的票据业务平台。  </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作为</w:t>
      </w:r>
      <w:r>
        <w:rPr>
          <w:rFonts w:hint="eastAsia" w:ascii="仿宋" w:hAnsi="仿宋" w:eastAsia="仿宋"/>
          <w:sz w:val="32"/>
          <w:szCs w:val="32"/>
          <w:lang w:bidi="ar"/>
        </w:rPr>
        <w:t>我国金融市场的重要基础设施，票交所</w:t>
      </w:r>
      <w:r>
        <w:rPr>
          <w:rFonts w:hint="eastAsia" w:ascii="仿宋" w:hAnsi="仿宋" w:eastAsia="仿宋"/>
          <w:sz w:val="32"/>
          <w:szCs w:val="32"/>
        </w:rPr>
        <w:t>具备票据报价交易、登记托管、清算结算、信息服务等功能，并承担中央银行货币政策再贴现操作等政策职能。自</w:t>
      </w:r>
      <w:r>
        <w:rPr>
          <w:rFonts w:hint="eastAsia" w:ascii="仿宋" w:hAnsi="仿宋" w:eastAsia="仿宋" w:cs="仿宋"/>
          <w:sz w:val="32"/>
          <w:szCs w:val="32"/>
        </w:rPr>
        <w:t>2016年12月8日开业运营以来，票交所</w:t>
      </w:r>
      <w:r>
        <w:rPr>
          <w:rFonts w:hint="eastAsia" w:ascii="仿宋" w:hAnsi="仿宋" w:eastAsia="仿宋"/>
          <w:sz w:val="32"/>
          <w:szCs w:val="32"/>
        </w:rPr>
        <w:t>已发展成为我国票据领域的登记托管中心、业务交易中心、创新发展中心、风险防控中心、数据分析</w:t>
      </w:r>
      <w:r>
        <w:rPr>
          <w:rFonts w:hint="eastAsia" w:ascii="仿宋" w:hAnsi="仿宋" w:eastAsia="仿宋"/>
          <w:sz w:val="32"/>
          <w:szCs w:val="32"/>
          <w:lang w:bidi="ar"/>
        </w:rPr>
        <w:t>中心</w:t>
      </w:r>
      <w:r>
        <w:rPr>
          <w:rFonts w:hint="eastAsia" w:ascii="仿宋" w:hAnsi="仿宋" w:eastAsia="仿宋"/>
          <w:sz w:val="32"/>
          <w:szCs w:val="32"/>
        </w:rPr>
        <w:t>、信息</w:t>
      </w:r>
      <w:r>
        <w:rPr>
          <w:rFonts w:hint="eastAsia" w:ascii="仿宋" w:hAnsi="仿宋" w:eastAsia="仿宋"/>
          <w:sz w:val="32"/>
          <w:szCs w:val="32"/>
          <w:lang w:bidi="ar"/>
        </w:rPr>
        <w:t>服务</w:t>
      </w:r>
      <w:r>
        <w:rPr>
          <w:rFonts w:hint="eastAsia" w:ascii="仿宋" w:hAnsi="仿宋" w:eastAsia="仿宋"/>
          <w:sz w:val="32"/>
          <w:szCs w:val="32"/>
        </w:rPr>
        <w:t>中心。</w:t>
      </w:r>
    </w:p>
    <w:bookmarkEnd w:id="19"/>
    <w:bookmarkEnd w:id="20"/>
    <w:bookmarkEnd w:id="21"/>
    <w:bookmarkEnd w:id="22"/>
    <w:bookmarkEnd w:id="23"/>
    <w:bookmarkEnd w:id="24"/>
    <w:bookmarkEnd w:id="25"/>
    <w:bookmarkEnd w:id="26"/>
    <w:bookmarkEnd w:id="27"/>
    <w:p>
      <w:pPr>
        <w:widowControl/>
        <w:tabs>
          <w:tab w:val="left" w:pos="2696"/>
        </w:tabs>
        <w:spacing w:line="590" w:lineRule="exact"/>
        <w:ind w:firstLine="640" w:firstLineChars="200"/>
        <w:rPr>
          <w:rFonts w:ascii="仿宋" w:hAnsi="仿宋" w:eastAsia="仿宋" w:cs="仿宋"/>
          <w:sz w:val="32"/>
          <w:szCs w:val="32"/>
        </w:rPr>
      </w:pPr>
      <w:bookmarkStart w:id="28" w:name="_Toc24755"/>
      <w:bookmarkStart w:id="29" w:name="_Toc5455"/>
      <w:bookmarkStart w:id="30" w:name="_Toc19243"/>
      <w:bookmarkStart w:id="31" w:name="_Toc28324"/>
      <w:bookmarkStart w:id="32" w:name="_Toc21481"/>
      <w:r>
        <w:rPr>
          <w:rFonts w:hint="eastAsia" w:ascii="仿宋" w:hAnsi="仿宋" w:eastAsia="仿宋"/>
          <w:sz w:val="32"/>
          <w:szCs w:val="32"/>
          <w:lang w:bidi="ar"/>
        </w:rPr>
        <w:t>票交所负责建设和运营的票据业务系统，为业务参与者提供商业汇票</w:t>
      </w:r>
      <w:r>
        <w:rPr>
          <w:rFonts w:hint="eastAsia" w:ascii="仿宋" w:hAnsi="仿宋" w:eastAsia="仿宋" w:cs="仿宋"/>
          <w:sz w:val="32"/>
          <w:szCs w:val="32"/>
        </w:rPr>
        <w:t>的出票、承兑、背书、贴现、转贴现、回购、再贴现、质押、保证、提示付款、追索等票据全生命周期业务处理，以及业务达成后相关的资金清算结算、票据</w:t>
      </w:r>
      <w:r>
        <w:rPr>
          <w:rFonts w:hint="eastAsia" w:ascii="仿宋" w:hAnsi="仿宋" w:eastAsia="仿宋"/>
          <w:sz w:val="32"/>
          <w:szCs w:val="32"/>
          <w:lang w:bidi="ar"/>
        </w:rPr>
        <w:t>登记托管和信息披露等</w:t>
      </w:r>
      <w:r>
        <w:rPr>
          <w:rFonts w:hint="eastAsia" w:ascii="仿宋" w:hAnsi="仿宋" w:eastAsia="仿宋" w:cs="仿宋"/>
          <w:sz w:val="32"/>
          <w:szCs w:val="32"/>
        </w:rPr>
        <w:t>服务。</w:t>
      </w:r>
    </w:p>
    <w:p>
      <w:pPr>
        <w:widowControl/>
        <w:tabs>
          <w:tab w:val="left" w:pos="1260"/>
          <w:tab w:val="left" w:pos="2696"/>
        </w:tabs>
        <w:spacing w:line="590" w:lineRule="exact"/>
        <w:ind w:firstLine="640" w:firstLineChars="200"/>
        <w:rPr>
          <w:rFonts w:ascii="仿宋" w:hAnsi="仿宋" w:eastAsia="仿宋"/>
          <w:sz w:val="32"/>
          <w:szCs w:val="32"/>
        </w:rPr>
      </w:pPr>
      <w:r>
        <w:rPr>
          <w:rFonts w:hint="eastAsia" w:ascii="仿宋" w:hAnsi="仿宋" w:eastAsia="仿宋"/>
          <w:sz w:val="32"/>
          <w:szCs w:val="32"/>
          <w:lang w:bidi="ar"/>
        </w:rPr>
        <w:t xml:space="preserve">为便于票据市场业务参与者理解和参与票交所的各类业务，明确操作流程、防范操作风险、提高业务效率，票交所整合了现有各类业务的具体规则、流程和操作，形成了《上海票据交易所业务指南》（以下简称本指南）。 </w:t>
      </w:r>
    </w:p>
    <w:p>
      <w:pPr>
        <w:numPr>
          <w:ilvl w:val="255"/>
          <w:numId w:val="0"/>
        </w:numPr>
        <w:tabs>
          <w:tab w:val="left" w:pos="2696"/>
        </w:tabs>
        <w:spacing w:line="590" w:lineRule="exact"/>
        <w:ind w:firstLine="640" w:firstLineChars="200"/>
        <w:rPr>
          <w:rFonts w:ascii="仿宋" w:hAnsi="仿宋" w:eastAsia="仿宋"/>
          <w:sz w:val="32"/>
          <w:szCs w:val="32"/>
        </w:rPr>
      </w:pPr>
      <w:r>
        <w:rPr>
          <w:rFonts w:hint="eastAsia" w:ascii="仿宋" w:hAnsi="仿宋" w:eastAsia="仿宋"/>
          <w:sz w:val="32"/>
          <w:szCs w:val="32"/>
        </w:rPr>
        <w:t>本指南由票交所负责解释和修订。</w:t>
      </w:r>
    </w:p>
    <w:p>
      <w:pPr>
        <w:rPr>
          <w:rFonts w:ascii="仿宋" w:hAnsi="仿宋" w:eastAsia="仿宋" w:cs="仿宋"/>
          <w:sz w:val="40"/>
          <w:szCs w:val="40"/>
        </w:rPr>
      </w:pPr>
      <w:r>
        <w:rPr>
          <w:rFonts w:hint="eastAsia" w:ascii="仿宋" w:hAnsi="仿宋" w:eastAsia="仿宋" w:cs="仿宋"/>
          <w:sz w:val="40"/>
          <w:szCs w:val="40"/>
        </w:rPr>
        <w:br w:type="page"/>
      </w:r>
    </w:p>
    <w:p>
      <w:pPr>
        <w:pStyle w:val="2"/>
        <w:spacing w:line="240" w:lineRule="auto"/>
        <w:jc w:val="center"/>
        <w:rPr>
          <w:rFonts w:ascii="仿宋" w:hAnsi="仿宋" w:eastAsia="仿宋" w:cs="仿宋"/>
          <w:sz w:val="40"/>
          <w:szCs w:val="40"/>
        </w:rPr>
      </w:pPr>
      <w:bookmarkStart w:id="33" w:name="_Toc31017"/>
      <w:bookmarkStart w:id="34" w:name="_Toc14847"/>
      <w:bookmarkStart w:id="35" w:name="_Toc13283"/>
      <w:bookmarkStart w:id="36" w:name="_Toc4693"/>
      <w:bookmarkStart w:id="37" w:name="_Toc3343"/>
      <w:bookmarkStart w:id="38" w:name="_Toc30578"/>
      <w:bookmarkStart w:id="39" w:name="_Toc32137"/>
      <w:bookmarkStart w:id="40" w:name="_Toc25955"/>
      <w:bookmarkStart w:id="41" w:name="_Toc474683873"/>
      <w:bookmarkStart w:id="42" w:name="_Toc21347"/>
      <w:bookmarkStart w:id="43" w:name="_Toc8603"/>
      <w:bookmarkStart w:id="44" w:name="_Toc30708"/>
      <w:r>
        <w:rPr>
          <w:rFonts w:hint="eastAsia" w:ascii="仿宋" w:hAnsi="仿宋" w:eastAsia="仿宋" w:cs="仿宋"/>
          <w:sz w:val="40"/>
          <w:szCs w:val="40"/>
        </w:rPr>
        <w:t>第一章 业务参与者的</w:t>
      </w:r>
      <w:bookmarkEnd w:id="18"/>
      <w:r>
        <w:rPr>
          <w:rFonts w:hint="eastAsia" w:ascii="仿宋" w:hAnsi="仿宋" w:eastAsia="仿宋" w:cs="仿宋"/>
          <w:sz w:val="40"/>
          <w:szCs w:val="40"/>
          <w:lang w:eastAsia="zh-CN"/>
        </w:rPr>
        <w:t>加入</w:t>
      </w:r>
      <w:r>
        <w:rPr>
          <w:rFonts w:hint="eastAsia" w:ascii="仿宋" w:hAnsi="仿宋" w:eastAsia="仿宋" w:cs="仿宋"/>
          <w:sz w:val="40"/>
          <w:szCs w:val="40"/>
        </w:rPr>
        <w:t>、变更、退出</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spacing w:line="590" w:lineRule="exact"/>
        <w:ind w:firstLine="640" w:firstLineChars="200"/>
        <w:rPr>
          <w:rFonts w:ascii="仿宋" w:hAnsi="仿宋" w:eastAsia="仿宋" w:cs="仿宋"/>
          <w:sz w:val="32"/>
          <w:szCs w:val="32"/>
        </w:rPr>
      </w:pPr>
      <w:bookmarkStart w:id="45" w:name="_Toc9375"/>
    </w:p>
    <w:bookmarkEnd w:id="45"/>
    <w:p>
      <w:pPr>
        <w:pStyle w:val="3"/>
        <w:spacing w:before="0" w:after="0" w:line="590" w:lineRule="exact"/>
        <w:ind w:firstLine="643" w:firstLineChars="200"/>
        <w:rPr>
          <w:rFonts w:ascii="仿宋" w:hAnsi="仿宋" w:eastAsia="仿宋" w:cs="仿宋"/>
        </w:rPr>
      </w:pPr>
      <w:bookmarkStart w:id="46" w:name="_Toc20532"/>
      <w:bookmarkStart w:id="47" w:name="_Toc14522"/>
      <w:bookmarkStart w:id="48" w:name="_Toc16759"/>
      <w:bookmarkStart w:id="49" w:name="_Toc13028"/>
      <w:bookmarkStart w:id="50" w:name="_Toc2134470791"/>
      <w:bookmarkStart w:id="51" w:name="_Toc30044"/>
      <w:bookmarkStart w:id="52" w:name="_Toc12638"/>
      <w:bookmarkStart w:id="53" w:name="_Toc27684"/>
      <w:bookmarkStart w:id="54" w:name="_Toc31046"/>
      <w:bookmarkStart w:id="55" w:name="_Toc28689"/>
      <w:bookmarkStart w:id="56" w:name="_Toc6685"/>
      <w:bookmarkStart w:id="57" w:name="_Toc37"/>
      <w:bookmarkStart w:id="58" w:name="_Toc24216"/>
      <w:bookmarkStart w:id="59" w:name="_Toc23700"/>
      <w:bookmarkStart w:id="60" w:name="_Toc6473"/>
      <w:bookmarkStart w:id="61" w:name="_Toc18204"/>
      <w:bookmarkStart w:id="62" w:name="_Toc20800"/>
      <w:r>
        <w:rPr>
          <w:rFonts w:hint="eastAsia" w:ascii="仿宋" w:hAnsi="仿宋" w:eastAsia="仿宋" w:cs="仿宋"/>
        </w:rPr>
        <w:t>1.1 概述</w:t>
      </w:r>
      <w:bookmarkEnd w:id="46"/>
      <w:bookmarkEnd w:id="47"/>
      <w:bookmarkEnd w:id="48"/>
      <w:bookmarkEnd w:id="49"/>
      <w:bookmarkEnd w:id="50"/>
      <w:bookmarkEnd w:id="51"/>
    </w:p>
    <w:p>
      <w:pPr>
        <w:tabs>
          <w:tab w:val="left" w:pos="2696"/>
        </w:tabs>
        <w:spacing w:line="590" w:lineRule="exact"/>
        <w:ind w:firstLine="640" w:firstLineChars="200"/>
        <w:rPr>
          <w:rFonts w:ascii="仿宋" w:hAnsi="仿宋" w:eastAsia="仿宋" w:cs="仿宋"/>
          <w:bCs/>
          <w:sz w:val="32"/>
          <w:szCs w:val="32"/>
          <w:lang w:bidi="ar"/>
        </w:rPr>
      </w:pPr>
      <w:bookmarkStart w:id="63" w:name="_Toc28557"/>
      <w:bookmarkStart w:id="64" w:name="_Toc14028"/>
      <w:bookmarkStart w:id="65" w:name="_Toc19453"/>
      <w:bookmarkStart w:id="66" w:name="_Toc25121"/>
      <w:r>
        <w:rPr>
          <w:rFonts w:hint="eastAsia" w:ascii="仿宋" w:hAnsi="仿宋" w:eastAsia="仿宋" w:cs="仿宋"/>
          <w:bCs/>
          <w:sz w:val="32"/>
          <w:szCs w:val="32"/>
          <w:lang w:bidi="ar"/>
        </w:rPr>
        <w:t>参与票交所业务的主体，包括业务参与者（直接参与者、间接参与者）和参与者服务机构。</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lang w:bidi="ar"/>
        </w:rPr>
        <w:t>各业务主体应严格遵守票据相关法律法规、中国人民银行发布的相关规范性文件和票交所业务规则</w:t>
      </w:r>
      <w:r>
        <w:rPr>
          <w:rFonts w:hint="eastAsia" w:ascii="仿宋" w:hAnsi="仿宋" w:eastAsia="仿宋" w:cs="仿宋"/>
          <w:bCs/>
          <w:sz w:val="32"/>
          <w:szCs w:val="32"/>
          <w:vertAlign w:val="superscript"/>
          <w:lang w:bidi="ar"/>
        </w:rPr>
        <w:footnoteReference w:id="0"/>
      </w:r>
      <w:r>
        <w:rPr>
          <w:rFonts w:hint="eastAsia" w:ascii="仿宋" w:hAnsi="仿宋" w:eastAsia="仿宋" w:cs="仿宋"/>
          <w:bCs/>
          <w:sz w:val="32"/>
          <w:szCs w:val="32"/>
          <w:lang w:bidi="ar"/>
        </w:rPr>
        <w:t>等制度，合法合规取得票据，不得利用票据从事洗钱等违法犯罪活动，不得出租、出借或转让在票交所开立的资产和资金账户。</w:t>
      </w:r>
    </w:p>
    <w:p>
      <w:pPr>
        <w:tabs>
          <w:tab w:val="left" w:pos="2696"/>
        </w:tabs>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lang w:bidi="ar"/>
        </w:rPr>
      </w:pPr>
      <w:bookmarkStart w:id="67" w:name="_Toc10083"/>
      <w:bookmarkStart w:id="68" w:name="_Toc2046"/>
      <w:bookmarkStart w:id="69" w:name="_Toc16429"/>
      <w:bookmarkStart w:id="70" w:name="_Toc31218"/>
      <w:bookmarkStart w:id="71" w:name="_Toc2255"/>
      <w:bookmarkStart w:id="72" w:name="_Toc1133933819"/>
      <w:r>
        <w:rPr>
          <w:rFonts w:hint="eastAsia" w:ascii="仿宋" w:hAnsi="仿宋" w:eastAsia="仿宋" w:cs="仿宋"/>
          <w:b/>
          <w:bCs/>
          <w:sz w:val="32"/>
          <w:szCs w:val="32"/>
          <w:lang w:bidi="ar"/>
        </w:rPr>
        <w:t>1.1</w:t>
      </w:r>
      <w:r>
        <w:rPr>
          <w:rFonts w:ascii="仿宋" w:hAnsi="仿宋" w:eastAsia="仿宋" w:cs="仿宋"/>
          <w:b/>
          <w:bCs/>
          <w:sz w:val="32"/>
          <w:szCs w:val="32"/>
          <w:lang w:bidi="ar"/>
        </w:rPr>
        <w:t>.1 业务参与者</w:t>
      </w:r>
      <w:bookmarkEnd w:id="63"/>
      <w:bookmarkEnd w:id="64"/>
      <w:bookmarkEnd w:id="65"/>
      <w:bookmarkEnd w:id="66"/>
      <w:bookmarkEnd w:id="67"/>
      <w:bookmarkEnd w:id="68"/>
      <w:bookmarkEnd w:id="69"/>
      <w:bookmarkEnd w:id="70"/>
      <w:bookmarkEnd w:id="71"/>
      <w:bookmarkEnd w:id="72"/>
    </w:p>
    <w:p>
      <w:pPr>
        <w:tabs>
          <w:tab w:val="left" w:pos="2696"/>
        </w:tabs>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rPr>
        <w:t>[</w:t>
      </w:r>
      <w:r>
        <w:rPr>
          <w:rFonts w:hint="eastAsia" w:ascii="仿宋" w:hAnsi="仿宋" w:eastAsia="仿宋" w:cs="仿宋"/>
          <w:b/>
          <w:bCs/>
          <w:sz w:val="32"/>
          <w:szCs w:val="32"/>
          <w:lang w:bidi="ar"/>
        </w:rPr>
        <w:t>直接</w:t>
      </w:r>
      <w:r>
        <w:rPr>
          <w:rFonts w:ascii="仿宋" w:hAnsi="仿宋" w:eastAsia="仿宋" w:cs="仿宋"/>
          <w:b/>
          <w:bCs/>
          <w:sz w:val="32"/>
          <w:szCs w:val="32"/>
          <w:lang w:bidi="ar"/>
        </w:rPr>
        <w:t>参与者</w:t>
      </w:r>
      <w:r>
        <w:rPr>
          <w:rFonts w:hint="eastAsia" w:ascii="仿宋" w:hAnsi="仿宋" w:eastAsia="仿宋" w:cs="仿宋"/>
          <w:b/>
          <w:bCs/>
          <w:sz w:val="32"/>
          <w:szCs w:val="32"/>
          <w:lang w:bidi="ar"/>
        </w:rPr>
        <w:t>]</w:t>
      </w:r>
    </w:p>
    <w:p>
      <w:pPr>
        <w:tabs>
          <w:tab w:val="left" w:pos="2696"/>
        </w:tabs>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指通过票据业务</w:t>
      </w:r>
      <w:r>
        <w:rPr>
          <w:rFonts w:ascii="仿宋" w:hAnsi="仿宋" w:eastAsia="仿宋" w:cs="仿宋"/>
          <w:bCs/>
          <w:sz w:val="32"/>
          <w:szCs w:val="32"/>
          <w:lang w:bidi="ar"/>
        </w:rPr>
        <w:t>系统</w:t>
      </w:r>
      <w:r>
        <w:rPr>
          <w:rFonts w:hint="eastAsia" w:ascii="仿宋" w:hAnsi="仿宋" w:eastAsia="仿宋" w:cs="仿宋"/>
          <w:bCs/>
          <w:sz w:val="32"/>
          <w:szCs w:val="32"/>
          <w:lang w:bidi="ar"/>
        </w:rPr>
        <w:t>或票交所</w:t>
      </w:r>
      <w:r>
        <w:rPr>
          <w:rFonts w:ascii="仿宋" w:hAnsi="仿宋" w:eastAsia="仿宋" w:cs="仿宋"/>
          <w:bCs/>
          <w:sz w:val="32"/>
          <w:szCs w:val="32"/>
          <w:lang w:bidi="ar"/>
        </w:rPr>
        <w:t>认可的方式</w:t>
      </w:r>
      <w:r>
        <w:rPr>
          <w:rFonts w:hint="eastAsia" w:ascii="仿宋" w:hAnsi="仿宋" w:eastAsia="仿宋" w:cs="仿宋"/>
          <w:bCs/>
          <w:sz w:val="32"/>
          <w:szCs w:val="32"/>
          <w:lang w:bidi="ar"/>
        </w:rPr>
        <w:t>，</w:t>
      </w:r>
      <w:r>
        <w:rPr>
          <w:rFonts w:ascii="仿宋" w:hAnsi="仿宋" w:eastAsia="仿宋" w:cs="仿宋"/>
          <w:bCs/>
          <w:sz w:val="32"/>
          <w:szCs w:val="32"/>
          <w:lang w:bidi="ar"/>
        </w:rPr>
        <w:t>直接</w:t>
      </w:r>
      <w:r>
        <w:rPr>
          <w:rFonts w:hint="eastAsia" w:ascii="仿宋" w:hAnsi="仿宋" w:eastAsia="仿宋" w:cs="仿宋"/>
          <w:bCs/>
          <w:sz w:val="32"/>
          <w:szCs w:val="32"/>
          <w:lang w:bidi="ar"/>
        </w:rPr>
        <w:t>与票交所</w:t>
      </w:r>
      <w:r>
        <w:rPr>
          <w:rFonts w:ascii="仿宋" w:hAnsi="仿宋" w:eastAsia="仿宋" w:cs="仿宋"/>
          <w:bCs/>
          <w:sz w:val="32"/>
          <w:szCs w:val="32"/>
          <w:lang w:bidi="ar"/>
        </w:rPr>
        <w:t>对接</w:t>
      </w:r>
      <w:r>
        <w:rPr>
          <w:rFonts w:hint="eastAsia" w:ascii="仿宋" w:hAnsi="仿宋" w:eastAsia="仿宋" w:cs="仿宋"/>
          <w:bCs/>
          <w:sz w:val="32"/>
          <w:szCs w:val="32"/>
          <w:lang w:bidi="ar"/>
        </w:rPr>
        <w:t>、获取票交所</w:t>
      </w:r>
      <w:r>
        <w:rPr>
          <w:rFonts w:ascii="仿宋" w:hAnsi="仿宋" w:eastAsia="仿宋" w:cs="仿宋"/>
          <w:bCs/>
          <w:sz w:val="32"/>
          <w:szCs w:val="32"/>
          <w:lang w:bidi="ar"/>
        </w:rPr>
        <w:t>服务</w:t>
      </w:r>
      <w:r>
        <w:rPr>
          <w:rFonts w:hint="eastAsia" w:ascii="仿宋" w:hAnsi="仿宋" w:eastAsia="仿宋" w:cs="仿宋"/>
          <w:bCs/>
          <w:sz w:val="32"/>
          <w:szCs w:val="32"/>
          <w:lang w:bidi="ar"/>
        </w:rPr>
        <w:t>的票据当事人及其他金融业务当事主体，包括但不限于：银行业金融机构，财务公司等非银行金融机构，金融机构授权的分支机构或管理的非法人产品，以及票交所认可的其他机构或实体等。</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金融机构的总部或其授权分支机构办理承兑、贴现、质押、保证以及交易等票据业务，非法人产品办理转贴现等票据交易业务，作为直接参与者加入票交所。</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直接参与者的</w:t>
      </w:r>
      <w:r>
        <w:rPr>
          <w:rFonts w:hint="eastAsia" w:ascii="仿宋" w:hAnsi="仿宋" w:eastAsia="仿宋" w:cs="仿宋"/>
          <w:bCs/>
          <w:sz w:val="32"/>
          <w:szCs w:val="32"/>
          <w:lang w:eastAsia="zh-CN"/>
        </w:rPr>
        <w:t>加入</w:t>
      </w:r>
      <w:r>
        <w:rPr>
          <w:rFonts w:hint="eastAsia" w:ascii="仿宋" w:hAnsi="仿宋" w:eastAsia="仿宋" w:cs="仿宋"/>
          <w:bCs/>
          <w:sz w:val="32"/>
          <w:szCs w:val="32"/>
        </w:rPr>
        <w:t>条件及办理流程详见本指南第“1.2 直接参与者”章节。</w:t>
      </w:r>
    </w:p>
    <w:p>
      <w:pPr>
        <w:tabs>
          <w:tab w:val="left" w:pos="2696"/>
        </w:tabs>
        <w:spacing w:line="590" w:lineRule="exact"/>
        <w:ind w:firstLine="643" w:firstLineChars="200"/>
        <w:rPr>
          <w:rFonts w:ascii="仿宋" w:hAnsi="仿宋" w:eastAsia="仿宋" w:cs="仿宋"/>
          <w:bCs/>
          <w:sz w:val="32"/>
          <w:szCs w:val="32"/>
          <w:lang w:bidi="ar"/>
        </w:rPr>
      </w:pPr>
      <w:r>
        <w:rPr>
          <w:rFonts w:hint="eastAsia" w:ascii="仿宋" w:hAnsi="仿宋" w:eastAsia="仿宋" w:cs="仿宋"/>
          <w:b/>
          <w:bCs/>
          <w:sz w:val="32"/>
          <w:szCs w:val="32"/>
        </w:rPr>
        <w:t>[</w:t>
      </w:r>
      <w:r>
        <w:rPr>
          <w:rFonts w:hint="eastAsia" w:ascii="仿宋" w:hAnsi="仿宋" w:eastAsia="仿宋" w:cs="仿宋"/>
          <w:b/>
          <w:bCs/>
          <w:sz w:val="32"/>
          <w:szCs w:val="32"/>
          <w:lang w:bidi="ar"/>
        </w:rPr>
        <w:t>间接</w:t>
      </w:r>
      <w:r>
        <w:rPr>
          <w:rFonts w:ascii="仿宋" w:hAnsi="仿宋" w:eastAsia="仿宋" w:cs="仿宋"/>
          <w:b/>
          <w:bCs/>
          <w:sz w:val="32"/>
          <w:szCs w:val="32"/>
          <w:lang w:bidi="ar"/>
        </w:rPr>
        <w:t>参与者</w:t>
      </w:r>
      <w:r>
        <w:rPr>
          <w:rFonts w:hint="eastAsia" w:ascii="仿宋" w:hAnsi="仿宋" w:eastAsia="仿宋" w:cs="仿宋"/>
          <w:b/>
          <w:bCs/>
          <w:sz w:val="32"/>
          <w:szCs w:val="32"/>
          <w:lang w:bidi="ar"/>
        </w:rPr>
        <w:t>]</w:t>
      </w:r>
    </w:p>
    <w:p>
      <w:pPr>
        <w:tabs>
          <w:tab w:val="left" w:pos="2696"/>
        </w:tabs>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lang w:bidi="ar"/>
        </w:rPr>
        <w:t>指不直接</w:t>
      </w:r>
      <w:r>
        <w:rPr>
          <w:rFonts w:ascii="仿宋" w:hAnsi="仿宋" w:eastAsia="仿宋" w:cs="仿宋"/>
          <w:bCs/>
          <w:sz w:val="32"/>
          <w:szCs w:val="32"/>
          <w:lang w:bidi="ar"/>
        </w:rPr>
        <w:t>与</w:t>
      </w:r>
      <w:r>
        <w:rPr>
          <w:rFonts w:hint="eastAsia" w:ascii="仿宋" w:hAnsi="仿宋" w:eastAsia="仿宋" w:cs="仿宋"/>
          <w:bCs/>
          <w:sz w:val="32"/>
          <w:szCs w:val="32"/>
          <w:lang w:bidi="ar"/>
        </w:rPr>
        <w:t>票交所</w:t>
      </w:r>
      <w:r>
        <w:rPr>
          <w:rFonts w:ascii="仿宋" w:hAnsi="仿宋" w:eastAsia="仿宋" w:cs="仿宋"/>
          <w:bCs/>
          <w:sz w:val="32"/>
          <w:szCs w:val="32"/>
          <w:lang w:bidi="ar"/>
        </w:rPr>
        <w:t>对接，</w:t>
      </w:r>
      <w:r>
        <w:rPr>
          <w:rFonts w:hint="eastAsia" w:ascii="仿宋" w:hAnsi="仿宋" w:eastAsia="仿宋" w:cs="仿宋"/>
          <w:bCs/>
          <w:sz w:val="32"/>
          <w:szCs w:val="32"/>
          <w:lang w:bidi="ar"/>
        </w:rPr>
        <w:t>而是</w:t>
      </w:r>
      <w:r>
        <w:rPr>
          <w:rFonts w:ascii="仿宋" w:hAnsi="仿宋" w:eastAsia="仿宋" w:cs="仿宋"/>
          <w:bCs/>
          <w:sz w:val="32"/>
          <w:szCs w:val="32"/>
          <w:lang w:bidi="ar"/>
        </w:rPr>
        <w:t>通过</w:t>
      </w:r>
      <w:r>
        <w:rPr>
          <w:rFonts w:hint="eastAsia" w:ascii="仿宋" w:hAnsi="仿宋" w:eastAsia="仿宋" w:cs="仿宋"/>
          <w:bCs/>
          <w:sz w:val="32"/>
          <w:szCs w:val="32"/>
          <w:lang w:bidi="ar"/>
        </w:rPr>
        <w:t>参与者服务机构获取票交所服务的票据当事人及其他金融业务当事主体，</w:t>
      </w:r>
      <w:r>
        <w:rPr>
          <w:rFonts w:hint="eastAsia" w:ascii="仿宋" w:hAnsi="仿宋" w:eastAsia="仿宋" w:cs="仿宋"/>
          <w:bCs/>
          <w:sz w:val="32"/>
          <w:szCs w:val="32"/>
        </w:rPr>
        <w:t>包括但不限于：非金融企事业法人、非法人组织、自然人以及票交所认可的其他机构或实体等。</w:t>
      </w:r>
    </w:p>
    <w:p>
      <w:pPr>
        <w:spacing w:line="590"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间接参与者办理票据的签发、背书、贴现、质押、保证等票据业务，需通过参与者服务机构加入票交所，</w:t>
      </w:r>
      <w:r>
        <w:rPr>
          <w:rFonts w:hint="eastAsia" w:ascii="仿宋" w:hAnsi="仿宋" w:eastAsia="仿宋" w:cs="仿宋"/>
          <w:sz w:val="32"/>
          <w:szCs w:val="32"/>
        </w:rPr>
        <w:t>通过参与者服务机构提供的客户终端进行业务的发起或接收，并对接收的业务申请进行查看、应答等操作</w:t>
      </w:r>
      <w:r>
        <w:rPr>
          <w:rFonts w:hint="eastAsia" w:ascii="仿宋" w:hAnsi="仿宋" w:eastAsia="仿宋" w:cs="仿宋"/>
          <w:bCs/>
          <w:sz w:val="32"/>
          <w:szCs w:val="32"/>
        </w:rPr>
        <w:t>。</w:t>
      </w:r>
    </w:p>
    <w:p>
      <w:pPr>
        <w:spacing w:line="590" w:lineRule="exact"/>
        <w:ind w:firstLine="612" w:firstLineChars="200"/>
        <w:rPr>
          <w:rFonts w:ascii="仿宋" w:hAnsi="仿宋" w:eastAsia="仿宋" w:cs="仿宋"/>
          <w:bCs/>
          <w:sz w:val="32"/>
          <w:szCs w:val="32"/>
        </w:rPr>
      </w:pPr>
      <w:r>
        <w:rPr>
          <w:rFonts w:hint="eastAsia" w:ascii="仿宋" w:hAnsi="仿宋" w:eastAsia="仿宋" w:cs="仿宋"/>
          <w:spacing w:val="-7"/>
          <w:sz w:val="32"/>
          <w:szCs w:val="32"/>
        </w:rPr>
        <w:t>间接参与者开展票据业务前，</w:t>
      </w:r>
      <w:r>
        <w:rPr>
          <w:rFonts w:hint="eastAsia" w:ascii="仿宋" w:hAnsi="仿宋" w:eastAsia="仿宋" w:cs="仿宋"/>
          <w:spacing w:val="-7"/>
          <w:sz w:val="32"/>
          <w:szCs w:val="32"/>
          <w:lang w:eastAsia="zh-Hans"/>
        </w:rPr>
        <w:t>应</w:t>
      </w:r>
      <w:r>
        <w:rPr>
          <w:rFonts w:hint="eastAsia" w:ascii="仿宋" w:hAnsi="仿宋" w:eastAsia="仿宋" w:cs="仿宋"/>
          <w:spacing w:val="-7"/>
          <w:sz w:val="32"/>
          <w:szCs w:val="32"/>
        </w:rPr>
        <w:t>与</w:t>
      </w:r>
      <w:r>
        <w:rPr>
          <w:rFonts w:hint="eastAsia" w:ascii="仿宋" w:hAnsi="仿宋" w:eastAsia="仿宋" w:cs="仿宋"/>
          <w:spacing w:val="-7"/>
          <w:sz w:val="32"/>
          <w:szCs w:val="32"/>
          <w:lang w:eastAsia="zh-Hans"/>
        </w:rPr>
        <w:t>参与者服务机构</w:t>
      </w:r>
      <w:r>
        <w:rPr>
          <w:rFonts w:hint="eastAsia" w:ascii="仿宋" w:hAnsi="仿宋" w:eastAsia="仿宋" w:cs="仿宋"/>
          <w:spacing w:val="-7"/>
          <w:sz w:val="32"/>
          <w:szCs w:val="32"/>
        </w:rPr>
        <w:t>签署</w:t>
      </w:r>
      <w:r>
        <w:rPr>
          <w:rFonts w:hint="eastAsia" w:ascii="仿宋" w:hAnsi="仿宋" w:eastAsia="仿宋" w:cs="仿宋"/>
          <w:spacing w:val="-7"/>
          <w:sz w:val="32"/>
          <w:szCs w:val="32"/>
          <w:lang w:eastAsia="zh-CN"/>
        </w:rPr>
        <w:t>《</w:t>
      </w:r>
      <w:r>
        <w:rPr>
          <w:rFonts w:hint="eastAsia" w:ascii="仿宋" w:hAnsi="仿宋" w:eastAsia="仿宋" w:cs="仿宋"/>
          <w:spacing w:val="-7"/>
          <w:sz w:val="32"/>
          <w:szCs w:val="32"/>
        </w:rPr>
        <w:t>电子商业汇票业务服务协议》，并签署《票据业务承诺函》（附件1）。间接参与者通过供应链平台开展票据业务前，应与金融机构签署供应链票据业务服务协议。</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间接参与者的</w:t>
      </w:r>
      <w:r>
        <w:rPr>
          <w:rFonts w:hint="eastAsia" w:ascii="仿宋" w:hAnsi="仿宋" w:eastAsia="仿宋" w:cs="仿宋"/>
          <w:sz w:val="32"/>
          <w:szCs w:val="32"/>
          <w:lang w:eastAsia="zh-CN"/>
        </w:rPr>
        <w:t>加入</w:t>
      </w:r>
      <w:r>
        <w:rPr>
          <w:rFonts w:hint="eastAsia" w:ascii="仿宋" w:hAnsi="仿宋" w:eastAsia="仿宋" w:cs="仿宋"/>
          <w:sz w:val="32"/>
          <w:szCs w:val="32"/>
        </w:rPr>
        <w:t>条件及办理流程详见本指南第“1.3 间接参与者”章节。</w:t>
      </w:r>
    </w:p>
    <w:p>
      <w:pPr>
        <w:spacing w:line="590" w:lineRule="exact"/>
        <w:rPr>
          <w:rFonts w:ascii="仿宋" w:hAnsi="仿宋" w:eastAsia="仿宋" w:cs="仿宋"/>
          <w:sz w:val="32"/>
          <w:szCs w:val="32"/>
        </w:rPr>
      </w:pPr>
      <w:bookmarkStart w:id="73" w:name="_Toc28418"/>
      <w:bookmarkStart w:id="74" w:name="_Toc15484"/>
      <w:bookmarkStart w:id="75" w:name="_Toc13818"/>
      <w:bookmarkStart w:id="76" w:name="_Toc23879"/>
    </w:p>
    <w:p>
      <w:pPr>
        <w:spacing w:line="590" w:lineRule="exact"/>
        <w:ind w:firstLine="643" w:firstLineChars="200"/>
        <w:outlineLvl w:val="2"/>
        <w:rPr>
          <w:rFonts w:ascii="仿宋" w:hAnsi="仿宋" w:eastAsia="仿宋" w:cs="仿宋"/>
          <w:b/>
          <w:bCs/>
          <w:sz w:val="32"/>
          <w:szCs w:val="32"/>
          <w:lang w:bidi="ar"/>
        </w:rPr>
      </w:pPr>
      <w:bookmarkStart w:id="77" w:name="_Toc20697"/>
      <w:bookmarkStart w:id="78" w:name="_Toc23413"/>
      <w:bookmarkStart w:id="79" w:name="_Toc7359"/>
      <w:bookmarkStart w:id="80" w:name="_Toc673219628"/>
      <w:bookmarkStart w:id="81" w:name="_Toc16878"/>
      <w:bookmarkStart w:id="82" w:name="_Toc11866"/>
      <w:r>
        <w:rPr>
          <w:rFonts w:hint="eastAsia" w:ascii="仿宋" w:hAnsi="仿宋" w:eastAsia="仿宋" w:cs="仿宋"/>
          <w:b/>
          <w:bCs/>
          <w:sz w:val="32"/>
          <w:szCs w:val="32"/>
          <w:lang w:bidi="ar"/>
        </w:rPr>
        <w:t>1</w:t>
      </w:r>
      <w:r>
        <w:rPr>
          <w:rFonts w:ascii="仿宋" w:hAnsi="仿宋" w:eastAsia="仿宋" w:cs="仿宋"/>
          <w:b/>
          <w:bCs/>
          <w:sz w:val="32"/>
          <w:szCs w:val="32"/>
          <w:lang w:bidi="ar"/>
        </w:rPr>
        <w:t>.</w:t>
      </w:r>
      <w:r>
        <w:rPr>
          <w:rFonts w:hint="eastAsia" w:ascii="仿宋" w:hAnsi="仿宋" w:eastAsia="仿宋" w:cs="仿宋"/>
          <w:b/>
          <w:bCs/>
          <w:sz w:val="32"/>
          <w:szCs w:val="32"/>
          <w:lang w:bidi="ar"/>
        </w:rPr>
        <w:t>1</w:t>
      </w:r>
      <w:r>
        <w:rPr>
          <w:rFonts w:ascii="仿宋" w:hAnsi="仿宋" w:eastAsia="仿宋" w:cs="仿宋"/>
          <w:b/>
          <w:bCs/>
          <w:sz w:val="32"/>
          <w:szCs w:val="32"/>
          <w:lang w:bidi="ar"/>
        </w:rPr>
        <w:t>.</w:t>
      </w:r>
      <w:r>
        <w:rPr>
          <w:rFonts w:hint="eastAsia" w:ascii="仿宋" w:hAnsi="仿宋" w:eastAsia="仿宋" w:cs="仿宋"/>
          <w:b/>
          <w:bCs/>
          <w:sz w:val="32"/>
          <w:szCs w:val="32"/>
          <w:lang w:bidi="ar"/>
        </w:rPr>
        <w:t>2</w:t>
      </w:r>
      <w:r>
        <w:rPr>
          <w:rFonts w:ascii="仿宋" w:hAnsi="仿宋" w:eastAsia="仿宋" w:cs="仿宋"/>
          <w:b/>
          <w:bCs/>
          <w:sz w:val="32"/>
          <w:szCs w:val="32"/>
          <w:lang w:bidi="ar"/>
        </w:rPr>
        <w:t xml:space="preserve"> 参与者服务机构</w:t>
      </w:r>
      <w:bookmarkEnd w:id="73"/>
      <w:bookmarkEnd w:id="74"/>
      <w:bookmarkEnd w:id="75"/>
      <w:bookmarkEnd w:id="76"/>
      <w:bookmarkEnd w:id="77"/>
      <w:bookmarkEnd w:id="78"/>
      <w:bookmarkEnd w:id="79"/>
      <w:bookmarkEnd w:id="80"/>
      <w:bookmarkEnd w:id="81"/>
      <w:bookmarkEnd w:id="82"/>
    </w:p>
    <w:p>
      <w:pPr>
        <w:tabs>
          <w:tab w:val="left" w:pos="2696"/>
        </w:tabs>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为间接参与者参与票交所业务提供业务服务的直接参与者及其他票交所认可的机构，包括但不限于：银行业金融机构，财务公司等非银行金融机构，金融机构授权的分支机构；供应链平台、“票付通”业务参与机构等。</w:t>
      </w:r>
    </w:p>
    <w:p>
      <w:pPr>
        <w:widowControl/>
        <w:spacing w:line="590" w:lineRule="exact"/>
        <w:ind w:firstLine="640" w:firstLineChars="200"/>
        <w:rPr>
          <w:rFonts w:ascii="仿宋" w:hAnsi="仿宋" w:eastAsia="仿宋" w:cs="仿宋"/>
          <w:spacing w:val="-7"/>
          <w:sz w:val="32"/>
          <w:szCs w:val="32"/>
        </w:rPr>
      </w:pPr>
      <w:r>
        <w:rPr>
          <w:rFonts w:hint="eastAsia" w:ascii="仿宋" w:hAnsi="仿宋" w:eastAsia="仿宋" w:cs="仿宋"/>
          <w:sz w:val="32"/>
          <w:szCs w:val="32"/>
        </w:rPr>
        <w:t>参与者服务机构为间接参与者提供电子商业汇票（以下简称电票）业务服务，应</w:t>
      </w:r>
      <w:r>
        <w:rPr>
          <w:rFonts w:hint="eastAsia" w:ascii="仿宋" w:hAnsi="仿宋" w:eastAsia="仿宋" w:cs="仿宋"/>
          <w:spacing w:val="-7"/>
          <w:sz w:val="32"/>
          <w:szCs w:val="32"/>
        </w:rPr>
        <w:t>与其签署《电子商业汇票业务服务协议》，并组织间接参与者签署《票据业务承诺函》（附件1）。</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rPr>
        <w:t>参与者服务机构应遵循“了解你的客户”的有关要求，履行客户尽职调查、持续尽职调查、客户身份资料及交易记录保存等反洗钱义务和其他责任</w:t>
      </w:r>
      <w:r>
        <w:rPr>
          <w:rFonts w:hint="eastAsia" w:ascii="仿宋" w:hAnsi="仿宋" w:eastAsia="仿宋" w:cs="仿宋"/>
          <w:sz w:val="32"/>
          <w:szCs w:val="32"/>
          <w:lang w:bidi="ar"/>
        </w:rPr>
        <w:t>。</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w:t>
      </w:r>
      <w:r>
        <w:rPr>
          <w:rFonts w:hint="eastAsia" w:ascii="仿宋" w:hAnsi="仿宋" w:eastAsia="仿宋" w:cs="仿宋"/>
          <w:bCs/>
          <w:sz w:val="32"/>
          <w:szCs w:val="32"/>
        </w:rPr>
        <w:t>应</w:t>
      </w:r>
      <w:r>
        <w:rPr>
          <w:rFonts w:ascii="仿宋_GB2312" w:hAnsi="仿宋" w:eastAsia="仿宋_GB2312"/>
          <w:bCs/>
          <w:sz w:val="32"/>
          <w:szCs w:val="32"/>
        </w:rPr>
        <w:t>保证本机构存储</w:t>
      </w:r>
      <w:r>
        <w:rPr>
          <w:rFonts w:hint="eastAsia" w:ascii="仿宋_GB2312" w:hAnsi="仿宋" w:eastAsia="仿宋_GB2312"/>
          <w:bCs/>
          <w:sz w:val="32"/>
          <w:szCs w:val="32"/>
        </w:rPr>
        <w:t>的</w:t>
      </w:r>
      <w:r>
        <w:rPr>
          <w:rFonts w:hint="eastAsia" w:ascii="仿宋" w:hAnsi="仿宋" w:eastAsia="仿宋" w:cs="仿宋"/>
          <w:bCs/>
          <w:sz w:val="32"/>
          <w:szCs w:val="32"/>
        </w:rPr>
        <w:t>电票</w:t>
      </w:r>
      <w:r>
        <w:rPr>
          <w:rFonts w:ascii="仿宋_GB2312" w:hAnsi="仿宋" w:eastAsia="仿宋_GB2312"/>
          <w:bCs/>
          <w:sz w:val="32"/>
          <w:szCs w:val="32"/>
        </w:rPr>
        <w:t>业务信息与票交所存储的相关业务信息完全相符，</w:t>
      </w:r>
      <w:r>
        <w:rPr>
          <w:rFonts w:hint="eastAsia" w:ascii="仿宋_GB2312" w:hAnsi="仿宋" w:eastAsia="仿宋_GB2312"/>
          <w:bCs/>
          <w:sz w:val="32"/>
          <w:szCs w:val="32"/>
        </w:rPr>
        <w:t>参照</w:t>
      </w:r>
      <w:r>
        <w:rPr>
          <w:rFonts w:hint="eastAsia" w:ascii="仿宋" w:hAnsi="仿宋" w:eastAsia="仿宋" w:cs="仿宋"/>
          <w:sz w:val="32"/>
          <w:szCs w:val="32"/>
        </w:rPr>
        <w:t>《新一代票据业务系统接入机构电子渠道客户端功能建设指引》（票交所发〔2022〕33号）</w:t>
      </w:r>
      <w:r>
        <w:rPr>
          <w:rFonts w:ascii="仿宋_GB2312" w:hAnsi="仿宋" w:eastAsia="仿宋_GB2312"/>
          <w:bCs/>
          <w:sz w:val="32"/>
          <w:szCs w:val="32"/>
        </w:rPr>
        <w:t>向</w:t>
      </w:r>
      <w:r>
        <w:rPr>
          <w:rFonts w:hint="eastAsia" w:ascii="仿宋_GB2312" w:hAnsi="仿宋" w:eastAsia="仿宋_GB2312"/>
          <w:bCs/>
          <w:sz w:val="32"/>
          <w:szCs w:val="32"/>
        </w:rPr>
        <w:t>间接参与者</w:t>
      </w:r>
      <w:r>
        <w:rPr>
          <w:rFonts w:ascii="仿宋_GB2312" w:hAnsi="仿宋" w:eastAsia="仿宋_GB2312"/>
          <w:bCs/>
          <w:sz w:val="32"/>
          <w:szCs w:val="32"/>
        </w:rPr>
        <w:t>提供</w:t>
      </w:r>
      <w:r>
        <w:rPr>
          <w:rFonts w:hint="eastAsia" w:ascii="仿宋_GB2312" w:hAnsi="仿宋" w:eastAsia="仿宋_GB2312"/>
          <w:bCs/>
          <w:sz w:val="32"/>
          <w:szCs w:val="32"/>
        </w:rPr>
        <w:t>和</w:t>
      </w:r>
      <w:r>
        <w:rPr>
          <w:rFonts w:ascii="仿宋_GB2312" w:hAnsi="仿宋" w:eastAsia="仿宋_GB2312"/>
          <w:bCs/>
          <w:sz w:val="32"/>
          <w:szCs w:val="32"/>
        </w:rPr>
        <w:t>展示</w:t>
      </w:r>
      <w:r>
        <w:rPr>
          <w:rFonts w:hint="eastAsia" w:ascii="仿宋_GB2312" w:hAnsi="仿宋" w:eastAsia="仿宋_GB2312"/>
          <w:bCs/>
          <w:sz w:val="32"/>
          <w:szCs w:val="32"/>
        </w:rPr>
        <w:t>（</w:t>
      </w:r>
      <w:r>
        <w:rPr>
          <w:rFonts w:hint="eastAsia" w:ascii="仿宋" w:hAnsi="仿宋" w:eastAsia="仿宋" w:cs="仿宋"/>
          <w:sz w:val="32"/>
          <w:szCs w:val="32"/>
        </w:rPr>
        <w:t>票据包信息的展示格式标准，详见附件2的展示格式标准说明）。</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w:t>
      </w:r>
      <w:r>
        <w:rPr>
          <w:rFonts w:hint="eastAsia" w:ascii="仿宋" w:hAnsi="仿宋" w:eastAsia="仿宋" w:cs="仿宋"/>
          <w:sz w:val="32"/>
          <w:szCs w:val="32"/>
          <w:lang w:eastAsia="zh-CN"/>
        </w:rPr>
        <w:t>加入</w:t>
      </w:r>
      <w:r>
        <w:rPr>
          <w:rFonts w:hint="eastAsia" w:ascii="仿宋" w:hAnsi="仿宋" w:eastAsia="仿宋" w:cs="仿宋"/>
          <w:sz w:val="32"/>
          <w:szCs w:val="32"/>
        </w:rPr>
        <w:t>条件及办理流程详见本指南第“1.4 参与者服务机构”章节。</w:t>
      </w:r>
    </w:p>
    <w:p>
      <w:pPr>
        <w:spacing w:line="590" w:lineRule="exact"/>
        <w:ind w:firstLine="640" w:firstLineChars="200"/>
        <w:rPr>
          <w:rFonts w:ascii="仿宋" w:hAnsi="仿宋" w:eastAsia="仿宋" w:cs="仿宋"/>
          <w:sz w:val="32"/>
          <w:szCs w:val="32"/>
        </w:rPr>
      </w:pPr>
    </w:p>
    <w:p>
      <w:pPr>
        <w:pStyle w:val="3"/>
        <w:spacing w:before="0" w:after="0" w:line="590" w:lineRule="exact"/>
        <w:ind w:firstLine="643" w:firstLineChars="200"/>
        <w:rPr>
          <w:rFonts w:ascii="仿宋" w:hAnsi="仿宋" w:eastAsia="仿宋" w:cs="仿宋"/>
          <w:color w:val="000000"/>
        </w:rPr>
      </w:pPr>
      <w:bookmarkStart w:id="83" w:name="_Toc13102"/>
      <w:bookmarkStart w:id="84" w:name="_Toc17205"/>
      <w:bookmarkStart w:id="85" w:name="_Toc705411651"/>
      <w:bookmarkStart w:id="86" w:name="_Toc32321"/>
      <w:bookmarkStart w:id="87" w:name="_Toc16312"/>
      <w:bookmarkStart w:id="88" w:name="_Toc17515"/>
      <w:r>
        <w:rPr>
          <w:rFonts w:hint="eastAsia" w:ascii="仿宋" w:hAnsi="仿宋" w:eastAsia="仿宋" w:cs="仿宋"/>
          <w:color w:val="000000"/>
        </w:rPr>
        <w:t>1.2 直接</w:t>
      </w:r>
      <w:r>
        <w:rPr>
          <w:rFonts w:hint="eastAsia" w:ascii="仿宋" w:hAnsi="仿宋" w:eastAsia="仿宋" w:cs="仿宋"/>
        </w:rPr>
        <w:t>参与者</w:t>
      </w:r>
      <w:bookmarkEnd w:id="52"/>
      <w:bookmarkEnd w:id="53"/>
      <w:bookmarkEnd w:id="54"/>
      <w:bookmarkEnd w:id="55"/>
      <w:bookmarkEnd w:id="56"/>
      <w:bookmarkEnd w:id="57"/>
      <w:bookmarkEnd w:id="58"/>
      <w:bookmarkEnd w:id="59"/>
      <w:bookmarkEnd w:id="60"/>
      <w:bookmarkEnd w:id="61"/>
      <w:bookmarkEnd w:id="62"/>
      <w:bookmarkEnd w:id="83"/>
      <w:bookmarkEnd w:id="84"/>
      <w:bookmarkEnd w:id="85"/>
      <w:bookmarkEnd w:id="86"/>
      <w:bookmarkEnd w:id="87"/>
      <w:bookmarkEnd w:id="88"/>
    </w:p>
    <w:p>
      <w:pPr>
        <w:spacing w:line="590" w:lineRule="exact"/>
        <w:ind w:firstLine="640" w:firstLineChars="200"/>
        <w:rPr>
          <w:rFonts w:ascii="仿宋" w:hAnsi="仿宋" w:eastAsia="仿宋" w:cs="仿宋"/>
          <w:sz w:val="32"/>
          <w:szCs w:val="32"/>
          <w:highlight w:val="yellow"/>
        </w:rPr>
      </w:pPr>
      <w:bookmarkStart w:id="89" w:name="_Toc14078"/>
      <w:bookmarkStart w:id="90" w:name="_Toc20202"/>
      <w:r>
        <w:rPr>
          <w:rFonts w:hint="eastAsia" w:ascii="仿宋" w:hAnsi="仿宋" w:eastAsia="仿宋" w:cs="仿宋"/>
          <w:sz w:val="32"/>
          <w:szCs w:val="32"/>
        </w:rPr>
        <w:t>金融机构法人及其授权分支机构、非法人产品、票交所认可的其他机构或实体等（以下简称“申请机构”），可申请成为票交所业务的直接参与者，开展票交所业务。</w:t>
      </w:r>
    </w:p>
    <w:p>
      <w:pPr>
        <w:spacing w:line="590" w:lineRule="exact"/>
        <w:ind w:firstLine="640" w:firstLineChars="200"/>
        <w:rPr>
          <w:rFonts w:ascii="仿宋" w:hAnsi="仿宋" w:eastAsia="仿宋" w:cs="仿宋"/>
          <w:sz w:val="32"/>
          <w:szCs w:val="32"/>
        </w:rPr>
      </w:pPr>
    </w:p>
    <w:p>
      <w:pPr>
        <w:pStyle w:val="4"/>
        <w:spacing w:before="0" w:after="0" w:line="240" w:lineRule="auto"/>
        <w:ind w:firstLine="643"/>
        <w:rPr>
          <w:rFonts w:hint="eastAsia" w:ascii="仿宋" w:hAnsi="仿宋" w:eastAsia="仿宋" w:cs="仿宋"/>
          <w:lang w:eastAsia="zh-CN"/>
        </w:rPr>
      </w:pPr>
      <w:bookmarkStart w:id="91" w:name="_Toc4154"/>
      <w:bookmarkStart w:id="92" w:name="_Toc22969"/>
      <w:bookmarkStart w:id="93" w:name="_Toc3394"/>
      <w:bookmarkStart w:id="94" w:name="_Toc28483"/>
      <w:bookmarkStart w:id="95" w:name="_Toc7223"/>
      <w:bookmarkStart w:id="96" w:name="_Toc18906"/>
      <w:bookmarkStart w:id="97" w:name="_Toc26016"/>
      <w:bookmarkStart w:id="98" w:name="_Toc19075"/>
      <w:bookmarkStart w:id="99" w:name="_Toc31369"/>
      <w:bookmarkStart w:id="100" w:name="_Toc8769"/>
      <w:bookmarkStart w:id="101" w:name="_Toc28796"/>
      <w:bookmarkStart w:id="102" w:name="_Toc29368"/>
      <w:bookmarkStart w:id="103" w:name="_Toc1611654556"/>
      <w:r>
        <w:rPr>
          <w:rFonts w:hint="eastAsia" w:ascii="仿宋" w:hAnsi="仿宋" w:eastAsia="仿宋" w:cs="仿宋"/>
        </w:rPr>
        <w:t xml:space="preserve">1.2.1 </w:t>
      </w:r>
      <w:bookmarkEnd w:id="91"/>
      <w:bookmarkEnd w:id="92"/>
      <w:bookmarkEnd w:id="93"/>
      <w:bookmarkEnd w:id="94"/>
      <w:bookmarkEnd w:id="95"/>
      <w:bookmarkEnd w:id="96"/>
      <w:bookmarkEnd w:id="97"/>
      <w:bookmarkEnd w:id="98"/>
      <w:bookmarkEnd w:id="99"/>
      <w:bookmarkEnd w:id="100"/>
      <w:bookmarkEnd w:id="101"/>
      <w:bookmarkEnd w:id="102"/>
      <w:r>
        <w:rPr>
          <w:rFonts w:hint="eastAsia" w:ascii="仿宋" w:hAnsi="仿宋" w:eastAsia="仿宋" w:cs="仿宋"/>
          <w:lang w:eastAsia="zh-CN"/>
        </w:rPr>
        <w:t>加入</w:t>
      </w:r>
      <w:bookmarkEnd w:id="103"/>
    </w:p>
    <w:p>
      <w:pPr>
        <w:spacing w:line="590" w:lineRule="exact"/>
        <w:ind w:firstLine="643" w:firstLineChars="200"/>
        <w:rPr>
          <w:rFonts w:ascii="仿宋" w:hAnsi="仿宋" w:eastAsia="仿宋" w:cs="仿宋"/>
          <w:b/>
          <w:bCs/>
          <w:sz w:val="32"/>
          <w:szCs w:val="32"/>
        </w:rPr>
      </w:pPr>
      <w:r>
        <w:rPr>
          <w:rFonts w:ascii="仿宋" w:hAnsi="仿宋" w:eastAsia="仿宋" w:cs="仿宋"/>
          <w:b/>
          <w:bCs/>
          <w:sz w:val="32"/>
          <w:szCs w:val="32"/>
        </w:rPr>
        <w:t>[</w:t>
      </w:r>
      <w:r>
        <w:rPr>
          <w:rFonts w:hint="eastAsia" w:ascii="仿宋" w:hAnsi="仿宋" w:eastAsia="仿宋" w:cs="仿宋"/>
          <w:b/>
          <w:bCs/>
          <w:sz w:val="32"/>
          <w:szCs w:val="32"/>
        </w:rPr>
        <w:t>申请条件</w:t>
      </w:r>
      <w:r>
        <w:rPr>
          <w:rFonts w:ascii="仿宋" w:hAnsi="仿宋" w:eastAsia="仿宋" w:cs="仿宋"/>
          <w:b/>
          <w:bCs/>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申请机构申请成为直接参与者开展票交所业务，应满足《商业汇票承兑、贴现与再贴现管理办法》《票据交易管理办法》以及票交所相关业务规则。</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pStyle w:val="58"/>
        <w:spacing w:line="590" w:lineRule="exact"/>
        <w:ind w:firstLine="640"/>
        <w:rPr>
          <w:rFonts w:ascii="仿宋" w:hAnsi="仿宋" w:eastAsia="仿宋" w:cs="仿宋"/>
          <w:sz w:val="32"/>
          <w:szCs w:val="32"/>
        </w:rPr>
      </w:pPr>
      <w:r>
        <w:rPr>
          <w:rFonts w:hint="eastAsia" w:ascii="仿宋" w:hAnsi="仿宋" w:eastAsia="仿宋" w:cs="仿宋"/>
          <w:sz w:val="32"/>
          <w:szCs w:val="32"/>
        </w:rPr>
        <w:t>①上海票据交易所参与者</w:t>
      </w:r>
      <w:r>
        <w:rPr>
          <w:rFonts w:hint="eastAsia" w:ascii="仿宋" w:hAnsi="仿宋" w:eastAsia="仿宋" w:cs="仿宋"/>
          <w:sz w:val="32"/>
          <w:szCs w:val="32"/>
          <w:lang w:eastAsia="zh-CN"/>
        </w:rPr>
        <w:t>加入</w:t>
      </w:r>
      <w:r>
        <w:rPr>
          <w:rFonts w:hint="eastAsia" w:ascii="仿宋" w:hAnsi="仿宋" w:eastAsia="仿宋" w:cs="仿宋"/>
          <w:sz w:val="32"/>
          <w:szCs w:val="32"/>
        </w:rPr>
        <w:t>申请表（附件3）；</w:t>
      </w:r>
    </w:p>
    <w:p>
      <w:pPr>
        <w:pStyle w:val="58"/>
        <w:spacing w:line="590" w:lineRule="exact"/>
        <w:ind w:firstLine="640"/>
        <w:rPr>
          <w:rFonts w:ascii="仿宋" w:hAnsi="仿宋" w:eastAsia="仿宋" w:cs="仿宋"/>
          <w:sz w:val="32"/>
          <w:szCs w:val="32"/>
        </w:rPr>
      </w:pPr>
      <w:r>
        <w:rPr>
          <w:rFonts w:hint="eastAsia" w:ascii="仿宋" w:hAnsi="仿宋" w:eastAsia="仿宋" w:cs="仿宋"/>
          <w:sz w:val="32"/>
          <w:szCs w:val="32"/>
        </w:rPr>
        <w:t>②营业执照复印件；</w:t>
      </w:r>
    </w:p>
    <w:p>
      <w:pPr>
        <w:pStyle w:val="58"/>
        <w:spacing w:line="590" w:lineRule="exact"/>
        <w:ind w:firstLine="640"/>
        <w:rPr>
          <w:rFonts w:ascii="仿宋" w:hAnsi="仿宋" w:eastAsia="仿宋" w:cs="仿宋"/>
          <w:sz w:val="32"/>
          <w:szCs w:val="32"/>
        </w:rPr>
      </w:pPr>
      <w:r>
        <w:rPr>
          <w:rFonts w:hint="eastAsia" w:ascii="仿宋" w:hAnsi="仿宋" w:eastAsia="仿宋" w:cs="仿宋"/>
          <w:sz w:val="32"/>
          <w:szCs w:val="32"/>
        </w:rPr>
        <w:t>③金融监管部门颁发的金融业务许可证复印件；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④《票据交易主协议》签署页（一式三份，一份由签署机构留存，另两份分别寄送票交所和中国银行间市场交易商协会（以下简称交易商协会）备案。非法人产品由产品管理人以产品名义签署备案）；</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⑤《上海票据交易所客户服务协议》（一式两份，寄送票交所。非法人产品由产品管理人签署）。</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注：《票据</w:t>
      </w:r>
      <w:r>
        <w:rPr>
          <w:rFonts w:hint="eastAsia" w:ascii="仿宋" w:hAnsi="仿宋" w:eastAsia="仿宋" w:cs="仿宋"/>
          <w:sz w:val="32"/>
          <w:szCs w:val="32"/>
          <w:lang w:eastAsia="zh-CN"/>
        </w:rPr>
        <w:t>交易</w:t>
      </w:r>
      <w:r>
        <w:rPr>
          <w:rFonts w:hint="eastAsia" w:ascii="仿宋" w:hAnsi="仿宋" w:eastAsia="仿宋" w:cs="仿宋"/>
          <w:sz w:val="32"/>
          <w:szCs w:val="32"/>
        </w:rPr>
        <w:t>主协议》《上海票据交易所客户服务协议》可在票交所官网下载。</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[申请材料要求]</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分支机构</w:t>
      </w:r>
      <w:r>
        <w:rPr>
          <w:rFonts w:hint="eastAsia" w:ascii="仿宋" w:hAnsi="仿宋" w:eastAsia="仿宋" w:cs="仿宋"/>
          <w:sz w:val="32"/>
          <w:szCs w:val="32"/>
          <w:lang w:eastAsia="zh-CN"/>
        </w:rPr>
        <w:t>加入</w:t>
      </w:r>
      <w:r>
        <w:rPr>
          <w:rFonts w:hint="eastAsia" w:ascii="仿宋" w:hAnsi="仿宋" w:eastAsia="仿宋" w:cs="仿宋"/>
          <w:sz w:val="32"/>
          <w:szCs w:val="32"/>
        </w:rPr>
        <w:t>时，仅需提交第①②项材料。</w:t>
      </w:r>
    </w:p>
    <w:p>
      <w:pPr>
        <w:pStyle w:val="58"/>
        <w:spacing w:line="590" w:lineRule="exact"/>
        <w:ind w:firstLine="64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非法人产品</w:t>
      </w:r>
      <w:r>
        <w:rPr>
          <w:rFonts w:hint="eastAsia" w:ascii="仿宋" w:hAnsi="仿宋" w:eastAsia="仿宋" w:cs="仿宋"/>
          <w:sz w:val="32"/>
          <w:szCs w:val="32"/>
          <w:lang w:eastAsia="zh-CN"/>
        </w:rPr>
        <w:t>加入</w:t>
      </w:r>
      <w:r>
        <w:rPr>
          <w:rFonts w:hint="eastAsia" w:ascii="仿宋" w:hAnsi="仿宋" w:eastAsia="仿宋" w:cs="仿宋"/>
          <w:sz w:val="32"/>
          <w:szCs w:val="32"/>
        </w:rPr>
        <w:t>时，还需提交在监管部门的批准或备案文件、产品合同或协议复印件。</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开立会员资金账户的申请机构和非法人产品，需补充提交出金账户证明材料：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◆申请机构/非法人产品的出金账户/托管账户在开户行/托管行的开户申请书复印件，及其在人民银行“人民币银行结算账户管理系统”截图；</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申请机构使用一般存款账户或者专用存款账户作为出金账户的，应提交基本存款账户及拟使用的一般存款账户或者专用存款账户的开户申请书（复印件）、以上账户在人民银行“人民币银行结算账户管理系统”截图等备案证明材料、未使用基本存款账户情况说明（附件4）；</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.境内无法人机构或法人机构无大额支付系统行号的外资银行，需补充提交下列授权文件：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◆境内无法人机构的外资银行，应由境外法人机构书面授权境内分支机构作为直接参与者；</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◆境内有法人机构但法人机构无大额支付系统行号的外资银行，应由法人机构书面授权辖内指定分支机构作为票据业务系统内的法人系统参与者。</w:t>
      </w:r>
    </w:p>
    <w:p>
      <w:pPr>
        <w:spacing w:line="590" w:lineRule="exact"/>
        <w:ind w:firstLine="640" w:firstLineChars="200"/>
        <w:rPr>
          <w:rFonts w:hint="eastAsia" w:ascii="仿宋" w:hAnsi="仿宋" w:eastAsia="仿宋" w:cs="仿宋"/>
          <w:sz w:val="32"/>
          <w:szCs w:val="32"/>
        </w:rPr>
      </w:pPr>
      <w:r>
        <w:rPr>
          <w:rFonts w:ascii="仿宋" w:hAnsi="仿宋" w:eastAsia="仿宋" w:cs="仿宋"/>
          <w:sz w:val="32"/>
          <w:szCs w:val="32"/>
        </w:rPr>
        <w:t>5.</w:t>
      </w:r>
      <w:r>
        <w:rPr>
          <w:rFonts w:hint="eastAsia" w:ascii="仿宋" w:hAnsi="仿宋" w:eastAsia="仿宋" w:cs="仿宋"/>
          <w:sz w:val="32"/>
          <w:szCs w:val="32"/>
        </w:rPr>
        <w:t>农村信用社、农村合作银行及村镇银行需补充提交金融监管部门对其上一年度监管评级材料（根据其监管评级状况，票交所可要求其进一步补充提交省农信联社或村镇银行发起行出具的风险管理承诺函等材料）。</w:t>
      </w:r>
    </w:p>
    <w:p>
      <w:p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6.申请机构在加入后，如需增加或减少本机构已申请票据业务事项，请重新提交第</w:t>
      </w:r>
      <w:r>
        <w:rPr>
          <w:rFonts w:hint="eastAsia" w:ascii="仿宋" w:hAnsi="仿宋" w:eastAsia="仿宋" w:cs="仿宋"/>
          <w:sz w:val="32"/>
          <w:szCs w:val="32"/>
        </w:rPr>
        <w:t>①②③</w:t>
      </w:r>
      <w:r>
        <w:rPr>
          <w:rFonts w:hint="eastAsia" w:ascii="仿宋" w:hAnsi="仿宋" w:eastAsia="仿宋" w:cs="仿宋"/>
          <w:sz w:val="32"/>
          <w:szCs w:val="32"/>
          <w:lang w:eastAsia="zh-CN"/>
        </w:rPr>
        <w:t>项材料，并在第</w:t>
      </w:r>
      <w:r>
        <w:rPr>
          <w:rFonts w:hint="eastAsia" w:ascii="仿宋" w:hAnsi="仿宋" w:eastAsia="仿宋" w:cs="仿宋"/>
          <w:sz w:val="32"/>
          <w:szCs w:val="32"/>
        </w:rPr>
        <w:t>①</w:t>
      </w:r>
      <w:r>
        <w:rPr>
          <w:rFonts w:hint="eastAsia" w:ascii="仿宋" w:hAnsi="仿宋" w:eastAsia="仿宋" w:cs="仿宋"/>
          <w:sz w:val="32"/>
          <w:szCs w:val="32"/>
          <w:lang w:eastAsia="zh-CN"/>
        </w:rPr>
        <w:t>项材料的“票据业务”中完整勾选变更后的全部业务事项。</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票交所自收到申请机构齐全的申请材料之日起5个工作日内，向机构指定联系人邮箱反馈审核意见（对办理法人机构</w:t>
      </w:r>
      <w:r>
        <w:rPr>
          <w:rFonts w:hint="eastAsia" w:ascii="仿宋" w:hAnsi="仿宋" w:eastAsia="仿宋" w:cs="仿宋"/>
          <w:sz w:val="32"/>
          <w:szCs w:val="32"/>
          <w:lang w:eastAsia="zh-CN"/>
        </w:rPr>
        <w:t>加入</w:t>
      </w:r>
      <w:r>
        <w:rPr>
          <w:rFonts w:hint="eastAsia" w:ascii="仿宋" w:hAnsi="仿宋" w:eastAsia="仿宋" w:cs="仿宋"/>
          <w:sz w:val="32"/>
          <w:szCs w:val="32"/>
        </w:rPr>
        <w:t>的银行业金融机构，票交所同时告知以固定格式文本向票交所发送大额支付系统自由格式报文事宜相关要求）。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2.票交所审核通过法人机构全部材料后10个工作日内，发送接入通知、票据业务系统用户名及密码至机构指定联系人邮箱，申请机构即可办理相关业务。</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.票交所审核通过分支机构和非法人产品全部材料之日起5个工作日内，发送通知邮件至机构指定邮箱。分支机构由法人机构自行为其完成权限配置、重置下发用户名及密码，即可办理相关业务。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ascii="仿宋" w:hAnsi="仿宋" w:eastAsia="仿宋" w:cs="仿宋"/>
          <w:sz w:val="32"/>
          <w:szCs w:val="32"/>
        </w:rPr>
        <w:t>.</w:t>
      </w:r>
      <w:r>
        <w:rPr>
          <w:rFonts w:hint="eastAsia" w:ascii="仿宋" w:hAnsi="仿宋" w:eastAsia="仿宋" w:cs="仿宋"/>
          <w:sz w:val="32"/>
          <w:szCs w:val="32"/>
        </w:rPr>
        <w:t>因申请机构指定特定办理日期或由于机构原因导致流程中断，无法按上述时限完成办理的情况除外。</w:t>
      </w:r>
    </w:p>
    <w:p>
      <w:pPr>
        <w:spacing w:line="590" w:lineRule="exact"/>
        <w:ind w:firstLine="640" w:firstLineChars="200"/>
        <w:rPr>
          <w:rFonts w:ascii="仿宋" w:hAnsi="仿宋" w:eastAsia="仿宋" w:cs="仿宋"/>
          <w:sz w:val="32"/>
          <w:szCs w:val="32"/>
        </w:rPr>
      </w:pPr>
    </w:p>
    <w:p>
      <w:pPr>
        <w:pStyle w:val="4"/>
        <w:numPr>
          <w:ilvl w:val="3"/>
          <w:numId w:val="0"/>
        </w:numPr>
        <w:spacing w:before="0" w:after="0" w:line="590" w:lineRule="exact"/>
        <w:ind w:firstLine="643" w:firstLineChars="200"/>
        <w:rPr>
          <w:rFonts w:ascii="仿宋" w:hAnsi="仿宋" w:eastAsia="仿宋" w:cs="仿宋"/>
        </w:rPr>
      </w:pPr>
      <w:bookmarkStart w:id="104" w:name="_Toc19384"/>
      <w:bookmarkStart w:id="105" w:name="_Toc12704"/>
      <w:bookmarkStart w:id="106" w:name="_Toc22773"/>
      <w:bookmarkStart w:id="107" w:name="_Toc14122"/>
      <w:bookmarkStart w:id="108" w:name="_Toc29928"/>
      <w:bookmarkStart w:id="109" w:name="_Toc1889567385"/>
      <w:bookmarkStart w:id="110" w:name="_Toc13678"/>
      <w:bookmarkStart w:id="111" w:name="_Toc6202"/>
      <w:bookmarkStart w:id="112" w:name="_Toc17178"/>
      <w:bookmarkStart w:id="113" w:name="_Toc27466"/>
      <w:r>
        <w:rPr>
          <w:rFonts w:hint="eastAsia" w:ascii="仿宋" w:hAnsi="仿宋" w:eastAsia="仿宋" w:cs="仿宋"/>
        </w:rPr>
        <w:t>1.2.2 变更</w:t>
      </w:r>
      <w:bookmarkEnd w:id="104"/>
      <w:bookmarkEnd w:id="105"/>
      <w:bookmarkEnd w:id="106"/>
      <w:bookmarkEnd w:id="107"/>
      <w:bookmarkEnd w:id="108"/>
      <w:bookmarkEnd w:id="109"/>
      <w:bookmarkEnd w:id="110"/>
      <w:bookmarkEnd w:id="111"/>
      <w:bookmarkEnd w:id="112"/>
      <w:bookmarkEnd w:id="113"/>
    </w:p>
    <w:p>
      <w:pPr>
        <w:pStyle w:val="5"/>
        <w:numPr>
          <w:ilvl w:val="3"/>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2</w:t>
      </w:r>
      <w:r>
        <w:rPr>
          <w:rFonts w:ascii="仿宋" w:hAnsi="仿宋" w:eastAsia="仿宋" w:cs="仿宋"/>
          <w:sz w:val="32"/>
          <w:szCs w:val="32"/>
        </w:rPr>
        <w:t xml:space="preserve">.2.1 </w:t>
      </w:r>
      <w:r>
        <w:rPr>
          <w:rFonts w:hint="eastAsia" w:ascii="仿宋" w:hAnsi="仿宋" w:eastAsia="仿宋" w:cs="仿宋"/>
          <w:sz w:val="32"/>
          <w:szCs w:val="32"/>
        </w:rPr>
        <w:t>法人机构主体变更</w:t>
      </w:r>
    </w:p>
    <w:p>
      <w:pPr>
        <w:spacing w:line="590" w:lineRule="exact"/>
        <w:ind w:firstLine="640" w:firstLineChars="200"/>
        <w:rPr>
          <w:rFonts w:ascii="仿宋" w:hAnsi="仿宋" w:eastAsia="仿宋" w:cs="仿宋"/>
          <w:b/>
          <w:bCs/>
          <w:sz w:val="32"/>
          <w:szCs w:val="32"/>
        </w:rPr>
      </w:pPr>
      <w:r>
        <w:rPr>
          <w:rFonts w:hint="eastAsia" w:ascii="仿宋" w:hAnsi="仿宋" w:eastAsia="仿宋" w:cs="仿宋"/>
          <w:sz w:val="32"/>
          <w:szCs w:val="32"/>
        </w:rPr>
        <w:t>直接参与者的法人机构因更名、改制等原因，发生主体变更，应按本条相关要求办理变更事宜。</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spacing w:line="590" w:lineRule="exact"/>
        <w:ind w:left="640"/>
        <w:rPr>
          <w:rFonts w:ascii="仿宋" w:hAnsi="仿宋" w:eastAsia="仿宋" w:cs="仿宋"/>
          <w:sz w:val="32"/>
          <w:szCs w:val="32"/>
        </w:rPr>
      </w:pPr>
      <w:r>
        <w:rPr>
          <w:rFonts w:hint="eastAsia" w:ascii="宋体" w:hAnsi="宋体" w:eastAsia="宋体" w:cs="仿宋"/>
          <w:sz w:val="32"/>
          <w:szCs w:val="32"/>
        </w:rPr>
        <w:t>①</w:t>
      </w:r>
      <w:r>
        <w:rPr>
          <w:rFonts w:hint="eastAsia" w:ascii="仿宋" w:hAnsi="仿宋" w:eastAsia="仿宋" w:cs="仿宋"/>
          <w:sz w:val="32"/>
          <w:szCs w:val="32"/>
        </w:rPr>
        <w:t>法人机构主体变更申请书（附件5）；</w:t>
      </w:r>
    </w:p>
    <w:p>
      <w:pPr>
        <w:spacing w:line="590" w:lineRule="exact"/>
        <w:ind w:firstLine="640"/>
        <w:rPr>
          <w:rFonts w:ascii="仿宋" w:hAnsi="仿宋" w:eastAsia="仿宋" w:cs="仿宋"/>
          <w:sz w:val="32"/>
          <w:szCs w:val="32"/>
        </w:rPr>
      </w:pPr>
      <w:r>
        <w:rPr>
          <w:rFonts w:hint="eastAsia" w:ascii="仿宋" w:hAnsi="仿宋" w:eastAsia="仿宋" w:cs="仿宋"/>
          <w:sz w:val="32"/>
          <w:szCs w:val="32"/>
        </w:rPr>
        <w:t>②金融监管部门出具的变更相关批复；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③业务承接申请书（附件6）；</w:t>
      </w:r>
    </w:p>
    <w:p>
      <w:pPr>
        <w:pStyle w:val="58"/>
        <w:spacing w:line="590" w:lineRule="exact"/>
        <w:ind w:firstLine="640"/>
        <w:rPr>
          <w:rFonts w:ascii="仿宋" w:hAnsi="仿宋" w:eastAsia="仿宋" w:cs="仿宋"/>
          <w:sz w:val="32"/>
          <w:szCs w:val="32"/>
        </w:rPr>
      </w:pPr>
      <w:r>
        <w:rPr>
          <w:rFonts w:hint="eastAsia" w:ascii="仿宋" w:hAnsi="仿宋" w:eastAsia="仿宋" w:cs="仿宋"/>
          <w:sz w:val="32"/>
          <w:szCs w:val="32"/>
        </w:rPr>
        <w:t>④变更后法人机构主体的</w:t>
      </w:r>
      <w:r>
        <w:rPr>
          <w:rFonts w:hint="eastAsia" w:ascii="仿宋" w:hAnsi="仿宋" w:eastAsia="仿宋" w:cs="仿宋"/>
          <w:sz w:val="32"/>
          <w:szCs w:val="32"/>
          <w:lang w:eastAsia="zh-CN"/>
        </w:rPr>
        <w:t>加入</w:t>
      </w:r>
      <w:r>
        <w:rPr>
          <w:rFonts w:hint="eastAsia" w:ascii="仿宋" w:hAnsi="仿宋" w:eastAsia="仿宋" w:cs="仿宋"/>
          <w:sz w:val="32"/>
          <w:szCs w:val="32"/>
        </w:rPr>
        <w:t>材料（详见本指南第“1</w:t>
      </w:r>
      <w:r>
        <w:rPr>
          <w:rFonts w:ascii="仿宋" w:hAnsi="仿宋" w:eastAsia="仿宋" w:cs="仿宋"/>
          <w:sz w:val="32"/>
          <w:szCs w:val="32"/>
        </w:rPr>
        <w:t>.</w:t>
      </w:r>
      <w:r>
        <w:rPr>
          <w:rFonts w:hint="eastAsia" w:ascii="仿宋" w:hAnsi="仿宋" w:eastAsia="仿宋" w:cs="仿宋"/>
          <w:sz w:val="32"/>
          <w:szCs w:val="32"/>
        </w:rPr>
        <w:t>2</w:t>
      </w:r>
      <w:r>
        <w:rPr>
          <w:rFonts w:ascii="仿宋" w:hAnsi="仿宋" w:eastAsia="仿宋" w:cs="仿宋"/>
          <w:sz w:val="32"/>
          <w:szCs w:val="32"/>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加入</w:t>
      </w:r>
      <w:r>
        <w:rPr>
          <w:rFonts w:hint="eastAsia" w:ascii="仿宋" w:hAnsi="仿宋" w:eastAsia="仿宋" w:cs="仿宋"/>
          <w:sz w:val="32"/>
          <w:szCs w:val="32"/>
        </w:rPr>
        <w:t>”章节）。</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[申请材料要求]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通过集中接入技术服务机构接入票据业务系统的申请机构，需补充提交集中接入技术服务机构同意提供接入技术服务的说明（加盖集中接入技术服务机构公章）。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w:t>
      </w:r>
      <w:r>
        <w:rPr>
          <w:rFonts w:hint="eastAsia" w:ascii="仿宋" w:hAnsi="仿宋" w:eastAsia="仿宋" w:cs="仿宋"/>
          <w:sz w:val="32"/>
          <w:szCs w:val="32"/>
        </w:rPr>
        <w:t>原使用所属支付系统直接参与者的人行清算账户进行资金清算的法人机构（支付系统间接参与者），若变更后仍需通过其进行资金清算的，需补充提交更新后的《人民银行清算账户使用授权书》（附件7）。</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.涉及多家机构合并、分立等复杂变更情况的，申请机构应及时与票交所联系，沟通详细情况，配合票交所制订相应变更方案后办理申请事宜。</w:t>
      </w:r>
    </w:p>
    <w:p>
      <w:pPr>
        <w:spacing w:line="590" w:lineRule="exact"/>
        <w:ind w:firstLine="643" w:firstLineChars="200"/>
        <w:rPr>
          <w:rFonts w:ascii="仿宋" w:hAnsi="仿宋" w:eastAsia="仿宋" w:cs="仿宋"/>
          <w:b/>
          <w:bCs/>
          <w:sz w:val="32"/>
          <w:szCs w:val="32"/>
        </w:rPr>
      </w:pPr>
      <w:r>
        <w:rPr>
          <w:rFonts w:ascii="仿宋" w:hAnsi="仿宋" w:eastAsia="仿宋" w:cs="仿宋"/>
          <w:b/>
          <w:bCs/>
          <w:sz w:val="32"/>
          <w:szCs w:val="32"/>
        </w:rPr>
        <w:t>[</w:t>
      </w:r>
      <w:r>
        <w:rPr>
          <w:rFonts w:hint="eastAsia" w:ascii="仿宋" w:hAnsi="仿宋" w:eastAsia="仿宋" w:cs="仿宋"/>
          <w:b/>
          <w:bCs/>
          <w:sz w:val="32"/>
          <w:szCs w:val="32"/>
        </w:rPr>
        <w:t>申请办理流程</w:t>
      </w:r>
      <w:r>
        <w:rPr>
          <w:rFonts w:ascii="仿宋" w:hAnsi="仿宋" w:eastAsia="仿宋" w:cs="仿宋"/>
          <w:b/>
          <w:bCs/>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1.票交所自收到申请机构齐全的申请材料之日起5个工作日内，向变更事项联系人邮箱反馈审核意见。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审核通过全部材料后，在15个工作日内，完成法人机构主体变更相关事宜（为不影响机构存量业务开展及相关资金清算，原则上操作需在周末开展）。因申请机构指定特定办理日期，或由于机构原因导致流程中断，无法按上述时限完成办理的情况除外。</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3.票交所发送通知邮件至变更事项联系人邮箱。</w:t>
      </w:r>
    </w:p>
    <w:p>
      <w:pPr>
        <w:spacing w:line="590" w:lineRule="exact"/>
        <w:ind w:firstLine="640" w:firstLineChars="200"/>
        <w:rPr>
          <w:rFonts w:ascii="仿宋" w:hAnsi="仿宋" w:eastAsia="仿宋" w:cs="仿宋"/>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2</w:t>
      </w:r>
      <w:r>
        <w:rPr>
          <w:rFonts w:ascii="仿宋" w:hAnsi="仿宋" w:eastAsia="仿宋" w:cs="仿宋"/>
          <w:sz w:val="32"/>
          <w:szCs w:val="32"/>
        </w:rPr>
        <w:t xml:space="preserve">.2.2 </w:t>
      </w:r>
      <w:r>
        <w:rPr>
          <w:rFonts w:hint="eastAsia" w:ascii="仿宋" w:hAnsi="仿宋" w:eastAsia="仿宋" w:cs="仿宋"/>
          <w:sz w:val="32"/>
          <w:szCs w:val="32"/>
        </w:rPr>
        <w:t>信息变更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直接参与者的法人机构基本信息、指定联系人、资金账户、预留印鉴、法人机构管理员发生变更，分支机构全称、简称、统一社会信用代码需要修正的，应按本条相关要求办理变更事宜。其余信息发生变更，应由本级或上级机构的管理员通过票据业务系统进行维护。</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w:t>
      </w:r>
    </w:p>
    <w:p>
      <w:pPr>
        <w:spacing w:line="590" w:lineRule="exact"/>
        <w:ind w:firstLine="640" w:firstLineChars="200"/>
        <w:rPr>
          <w:rFonts w:ascii="仿宋" w:hAnsi="仿宋" w:eastAsia="仿宋" w:cs="仿宋"/>
          <w:b/>
          <w:bCs/>
          <w:sz w:val="32"/>
          <w:szCs w:val="32"/>
        </w:rPr>
      </w:pPr>
      <w:r>
        <w:rPr>
          <w:rFonts w:hint="eastAsia" w:ascii="仿宋" w:hAnsi="仿宋" w:eastAsia="仿宋" w:cs="仿宋"/>
          <w:sz w:val="32"/>
          <w:szCs w:val="32"/>
        </w:rPr>
        <w:t>上海票据交易所参与者变更申请表（附件8）；</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[申请材料要求]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资金账户发生变更，需开立会员资金账户的申请机构，需补充提交出金账户证明材料（详见本指南第“1</w:t>
      </w:r>
      <w:r>
        <w:rPr>
          <w:rFonts w:ascii="仿宋" w:hAnsi="仿宋" w:eastAsia="仿宋" w:cs="仿宋"/>
          <w:sz w:val="32"/>
          <w:szCs w:val="32"/>
        </w:rPr>
        <w:t>.</w:t>
      </w:r>
      <w:r>
        <w:rPr>
          <w:rFonts w:hint="eastAsia" w:ascii="仿宋" w:hAnsi="仿宋" w:eastAsia="仿宋" w:cs="仿宋"/>
          <w:sz w:val="32"/>
          <w:szCs w:val="32"/>
        </w:rPr>
        <w:t>2</w:t>
      </w:r>
      <w:r>
        <w:rPr>
          <w:rFonts w:ascii="仿宋" w:hAnsi="仿宋" w:eastAsia="仿宋" w:cs="仿宋"/>
          <w:sz w:val="32"/>
          <w:szCs w:val="32"/>
        </w:rPr>
        <w:t>.1</w:t>
      </w:r>
      <w:r>
        <w:rPr>
          <w:rFonts w:hint="eastAsia" w:ascii="仿宋" w:hAnsi="仿宋" w:eastAsia="仿宋" w:cs="仿宋"/>
          <w:sz w:val="32"/>
          <w:szCs w:val="32"/>
          <w:lang w:eastAsia="zh-CN"/>
        </w:rPr>
        <w:t>加入</w:t>
      </w:r>
      <w:r>
        <w:rPr>
          <w:rFonts w:hint="eastAsia" w:ascii="仿宋" w:hAnsi="仿宋" w:eastAsia="仿宋" w:cs="仿宋"/>
          <w:sz w:val="32"/>
          <w:szCs w:val="32"/>
        </w:rPr>
        <w:t>”章节）。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w:t>
      </w:r>
      <w:r>
        <w:rPr>
          <w:rFonts w:hint="eastAsia" w:ascii="仿宋" w:hAnsi="仿宋" w:eastAsia="仿宋" w:cs="仿宋"/>
          <w:sz w:val="32"/>
          <w:szCs w:val="32"/>
        </w:rPr>
        <w:t>资金账户发生变更，不再使用会员资金账户的申请机构，应确保会员资金账户符合本指南第“1</w:t>
      </w:r>
      <w:r>
        <w:rPr>
          <w:rFonts w:ascii="仿宋" w:hAnsi="仿宋" w:eastAsia="仿宋" w:cs="仿宋"/>
          <w:sz w:val="32"/>
          <w:szCs w:val="32"/>
        </w:rPr>
        <w:t>.</w:t>
      </w:r>
      <w:r>
        <w:rPr>
          <w:rFonts w:hint="eastAsia" w:ascii="仿宋" w:hAnsi="仿宋" w:eastAsia="仿宋" w:cs="仿宋"/>
          <w:sz w:val="32"/>
          <w:szCs w:val="32"/>
        </w:rPr>
        <w:t>5</w:t>
      </w:r>
      <w:r>
        <w:rPr>
          <w:rFonts w:ascii="仿宋" w:hAnsi="仿宋" w:eastAsia="仿宋" w:cs="仿宋"/>
          <w:sz w:val="32"/>
          <w:szCs w:val="32"/>
        </w:rPr>
        <w:t>.</w:t>
      </w:r>
      <w:r>
        <w:rPr>
          <w:rFonts w:hint="eastAsia" w:ascii="仿宋" w:hAnsi="仿宋" w:eastAsia="仿宋" w:cs="仿宋"/>
          <w:sz w:val="32"/>
          <w:szCs w:val="32"/>
        </w:rPr>
        <w:t>1</w:t>
      </w:r>
      <w:r>
        <w:rPr>
          <w:rFonts w:ascii="仿宋" w:hAnsi="仿宋" w:eastAsia="仿宋" w:cs="仿宋"/>
          <w:sz w:val="32"/>
          <w:szCs w:val="32"/>
        </w:rPr>
        <w:t>.3</w:t>
      </w:r>
      <w:r>
        <w:rPr>
          <w:rFonts w:hint="eastAsia" w:ascii="仿宋" w:hAnsi="仿宋" w:eastAsia="仿宋" w:cs="仿宋"/>
          <w:sz w:val="32"/>
          <w:szCs w:val="32"/>
        </w:rPr>
        <w:t xml:space="preserve"> 注销”章节的注销要求，票交所将在审核后，为申请机构结清账户费用并办理销户。</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工商信息发生变更的，需补充提交营业执照复印件及相关批复文件（若有）。</w:t>
      </w:r>
    </w:p>
    <w:p>
      <w:pPr>
        <w:spacing w:line="590" w:lineRule="exact"/>
        <w:ind w:firstLine="643" w:firstLineChars="200"/>
        <w:rPr>
          <w:rFonts w:ascii="仿宋" w:hAnsi="仿宋" w:eastAsia="仿宋" w:cs="仿宋"/>
          <w:b/>
          <w:bCs/>
          <w:sz w:val="32"/>
          <w:szCs w:val="32"/>
        </w:rPr>
      </w:pPr>
      <w:r>
        <w:rPr>
          <w:rFonts w:ascii="仿宋" w:hAnsi="仿宋" w:eastAsia="仿宋" w:cs="仿宋"/>
          <w:b/>
          <w:bCs/>
          <w:sz w:val="32"/>
          <w:szCs w:val="32"/>
        </w:rPr>
        <w:t>[</w:t>
      </w:r>
      <w:r>
        <w:rPr>
          <w:rFonts w:hint="eastAsia" w:ascii="仿宋" w:hAnsi="仿宋" w:eastAsia="仿宋" w:cs="仿宋"/>
          <w:b/>
          <w:bCs/>
          <w:sz w:val="32"/>
          <w:szCs w:val="32"/>
        </w:rPr>
        <w:t>申请办理流程</w:t>
      </w:r>
      <w:r>
        <w:rPr>
          <w:rFonts w:ascii="仿宋" w:hAnsi="仿宋" w:eastAsia="仿宋" w:cs="仿宋"/>
          <w:b/>
          <w:bCs/>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1.票交所自收到申请机构齐全的申请材料之日起5个工作日内，向变更事项联系人邮箱反馈审核意见。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2.票交所审核通过全部材料后，在5个工作日内，完成信息变更相关事宜。因申请机构指定特定办理日期，或由于机构原因导致流程中断，无法按上述时限完成办理的情况除外。</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3.票交所发送通知邮件至变更事项联系人邮箱。</w:t>
      </w:r>
    </w:p>
    <w:p>
      <w:pPr>
        <w:spacing w:line="590" w:lineRule="exact"/>
        <w:ind w:firstLine="640" w:firstLineChars="200"/>
        <w:rPr>
          <w:rFonts w:ascii="仿宋" w:hAnsi="仿宋" w:eastAsia="仿宋" w:cs="仿宋"/>
          <w:sz w:val="32"/>
          <w:szCs w:val="32"/>
        </w:rPr>
      </w:pPr>
    </w:p>
    <w:p>
      <w:pPr>
        <w:pStyle w:val="4"/>
        <w:numPr>
          <w:ilvl w:val="3"/>
          <w:numId w:val="0"/>
        </w:numPr>
        <w:spacing w:before="0" w:after="0" w:line="590" w:lineRule="exact"/>
        <w:ind w:firstLine="643" w:firstLineChars="200"/>
        <w:rPr>
          <w:rFonts w:ascii="仿宋" w:hAnsi="仿宋" w:eastAsia="仿宋" w:cs="仿宋"/>
        </w:rPr>
      </w:pPr>
      <w:bookmarkStart w:id="114" w:name="_Toc6891"/>
      <w:bookmarkStart w:id="115" w:name="_Toc31654"/>
      <w:bookmarkStart w:id="116" w:name="_Toc1395668812"/>
      <w:bookmarkStart w:id="117" w:name="_Toc29506"/>
      <w:bookmarkStart w:id="118" w:name="_Toc21934"/>
      <w:bookmarkStart w:id="119" w:name="_Toc20955"/>
      <w:bookmarkStart w:id="120" w:name="_Toc23430"/>
      <w:bookmarkStart w:id="121" w:name="_Toc26474"/>
      <w:bookmarkStart w:id="122" w:name="_Toc4104"/>
      <w:bookmarkStart w:id="123" w:name="_Toc3004"/>
      <w:r>
        <w:rPr>
          <w:rFonts w:hint="eastAsia" w:ascii="仿宋" w:hAnsi="仿宋" w:eastAsia="仿宋" w:cs="仿宋"/>
        </w:rPr>
        <w:t>1.2.3 退出</w:t>
      </w:r>
      <w:bookmarkEnd w:id="114"/>
      <w:bookmarkEnd w:id="115"/>
      <w:bookmarkEnd w:id="116"/>
      <w:bookmarkEnd w:id="117"/>
      <w:bookmarkEnd w:id="118"/>
      <w:bookmarkEnd w:id="119"/>
      <w:bookmarkEnd w:id="120"/>
      <w:bookmarkEnd w:id="121"/>
      <w:bookmarkEnd w:id="122"/>
      <w:bookmarkEnd w:id="123"/>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申请退出的直接参与者应确保无存量业务。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w:t>
      </w:r>
      <w:r>
        <w:rPr>
          <w:rFonts w:hint="eastAsia" w:ascii="仿宋" w:hAnsi="仿宋" w:eastAsia="仿宋" w:cs="仿宋"/>
          <w:sz w:val="32"/>
          <w:szCs w:val="32"/>
        </w:rPr>
        <w:t>有存量业务但确需退出的直接参与者，应指定其他直接参与者继承存量业务，票交所将在审核后，为其办理业务承接。</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申请退出的直接参与者若开立有会员资金账户，申请机构应确保会员资金账户符合本指南第“1</w:t>
      </w:r>
      <w:r>
        <w:rPr>
          <w:rFonts w:ascii="仿宋" w:hAnsi="仿宋" w:eastAsia="仿宋" w:cs="仿宋"/>
          <w:sz w:val="32"/>
          <w:szCs w:val="32"/>
        </w:rPr>
        <w:t>.</w:t>
      </w:r>
      <w:r>
        <w:rPr>
          <w:rFonts w:hint="eastAsia" w:ascii="仿宋" w:hAnsi="仿宋" w:eastAsia="仿宋" w:cs="仿宋"/>
          <w:sz w:val="32"/>
          <w:szCs w:val="32"/>
        </w:rPr>
        <w:t>5</w:t>
      </w:r>
      <w:r>
        <w:rPr>
          <w:rFonts w:ascii="仿宋" w:hAnsi="仿宋" w:eastAsia="仿宋" w:cs="仿宋"/>
          <w:sz w:val="32"/>
          <w:szCs w:val="32"/>
        </w:rPr>
        <w:t>.</w:t>
      </w:r>
      <w:r>
        <w:rPr>
          <w:rFonts w:hint="eastAsia" w:ascii="仿宋" w:hAnsi="仿宋" w:eastAsia="仿宋" w:cs="仿宋"/>
          <w:sz w:val="32"/>
          <w:szCs w:val="32"/>
        </w:rPr>
        <w:t>1</w:t>
      </w:r>
      <w:r>
        <w:rPr>
          <w:rFonts w:ascii="仿宋" w:hAnsi="仿宋" w:eastAsia="仿宋" w:cs="仿宋"/>
          <w:sz w:val="32"/>
          <w:szCs w:val="32"/>
        </w:rPr>
        <w:t>.3</w:t>
      </w:r>
      <w:r>
        <w:rPr>
          <w:rFonts w:hint="eastAsia" w:ascii="仿宋" w:hAnsi="仿宋" w:eastAsia="仿宋" w:cs="仿宋"/>
          <w:sz w:val="32"/>
          <w:szCs w:val="32"/>
        </w:rPr>
        <w:t>”章节的注销要求，票交所将在审核后，为申请机构结清账户费用并办理销户。</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票交所规定的其他条件。</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spacing w:line="590" w:lineRule="exact"/>
        <w:ind w:firstLine="640" w:firstLineChars="200"/>
        <w:rPr>
          <w:rFonts w:ascii="仿宋" w:hAnsi="仿宋" w:eastAsia="仿宋" w:cs="仿宋"/>
          <w:b/>
          <w:bCs/>
          <w:sz w:val="32"/>
          <w:szCs w:val="32"/>
        </w:rPr>
      </w:pPr>
      <w:r>
        <w:rPr>
          <w:rFonts w:hint="eastAsia" w:ascii="宋体" w:hAnsi="宋体" w:eastAsia="宋体" w:cs="仿宋"/>
          <w:sz w:val="32"/>
          <w:szCs w:val="32"/>
        </w:rPr>
        <w:t>①</w:t>
      </w:r>
      <w:r>
        <w:rPr>
          <w:rFonts w:hint="eastAsia" w:ascii="仿宋" w:hAnsi="仿宋" w:eastAsia="仿宋" w:cs="仿宋"/>
          <w:sz w:val="32"/>
          <w:szCs w:val="32"/>
        </w:rPr>
        <w:t>上海票据交易所参与者退出申请表（附件9）；</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②金融监管部门出具的相关批复文件（如有）。</w:t>
      </w:r>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[申请材料要求]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需办理业务承接的法人机构，还需补充提交业务承接申请书（附件6）。</w:t>
      </w:r>
    </w:p>
    <w:p>
      <w:pPr>
        <w:spacing w:line="590" w:lineRule="exact"/>
        <w:ind w:firstLine="643" w:firstLineChars="200"/>
        <w:rPr>
          <w:rFonts w:ascii="仿宋" w:hAnsi="仿宋" w:eastAsia="仿宋" w:cs="仿宋"/>
          <w:b/>
          <w:bCs/>
          <w:sz w:val="32"/>
          <w:szCs w:val="32"/>
        </w:rPr>
      </w:pPr>
      <w:bookmarkStart w:id="124" w:name="_Toc32055"/>
      <w:bookmarkStart w:id="125" w:name="_Toc9673"/>
      <w:bookmarkStart w:id="126" w:name="_Toc198"/>
      <w:bookmarkStart w:id="127" w:name="_Toc28126"/>
      <w:r>
        <w:rPr>
          <w:rFonts w:hint="eastAsia" w:ascii="仿宋" w:hAnsi="仿宋" w:eastAsia="仿宋" w:cs="仿宋"/>
          <w:b/>
          <w:bCs/>
          <w:sz w:val="32"/>
          <w:szCs w:val="32"/>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1.票交所自收到申请机构齐全的申请材料之日起5个工作日内，向退出事项联系人邮箱反馈审核意见。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审核通过全部材料后，在15个工作日内，完成法人机构退出相关事宜。在5个工作日内，完成分支机构和非法人产品退出相关事宜。因申请机构指定特定办理日期、存在未结清业务等原因，导致无法按上述时限完成办理的情况除外。</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w:t>
      </w:r>
      <w:r>
        <w:rPr>
          <w:rFonts w:hint="eastAsia" w:ascii="仿宋" w:hAnsi="仿宋" w:eastAsia="仿宋" w:cs="仿宋"/>
          <w:sz w:val="32"/>
          <w:szCs w:val="32"/>
        </w:rPr>
        <w:t>票交所发送通知邮件至退出事项联系人邮箱。</w:t>
      </w:r>
    </w:p>
    <w:p>
      <w:pPr>
        <w:spacing w:line="590" w:lineRule="exact"/>
        <w:ind w:firstLine="640" w:firstLineChars="200"/>
        <w:rPr>
          <w:rFonts w:ascii="仿宋" w:hAnsi="仿宋" w:eastAsia="仿宋" w:cs="仿宋"/>
          <w:strike/>
          <w:sz w:val="32"/>
          <w:szCs w:val="32"/>
        </w:rPr>
      </w:pPr>
    </w:p>
    <w:p>
      <w:pPr>
        <w:pStyle w:val="4"/>
        <w:numPr>
          <w:ilvl w:val="3"/>
          <w:numId w:val="0"/>
        </w:numPr>
        <w:spacing w:before="0" w:after="0" w:line="590" w:lineRule="exact"/>
        <w:ind w:firstLine="643" w:firstLineChars="200"/>
        <w:rPr>
          <w:rFonts w:ascii="仿宋" w:hAnsi="仿宋" w:eastAsia="仿宋" w:cs="仿宋"/>
        </w:rPr>
      </w:pPr>
      <w:bookmarkStart w:id="128" w:name="_Toc29542"/>
      <w:bookmarkStart w:id="129" w:name="_Toc1211881472"/>
      <w:bookmarkStart w:id="130" w:name="_Toc19008"/>
      <w:bookmarkStart w:id="131" w:name="_Toc20431"/>
      <w:bookmarkStart w:id="132" w:name="_Toc18059"/>
      <w:bookmarkStart w:id="133" w:name="_Toc16665"/>
      <w:bookmarkStart w:id="134" w:name="_Toc2947"/>
      <w:bookmarkStart w:id="135" w:name="_Toc2309"/>
      <w:bookmarkStart w:id="136" w:name="_Toc14347"/>
      <w:bookmarkStart w:id="137" w:name="_Toc19896"/>
      <w:r>
        <w:rPr>
          <w:rFonts w:hint="eastAsia" w:ascii="仿宋" w:hAnsi="仿宋" w:eastAsia="仿宋" w:cs="仿宋"/>
        </w:rPr>
        <w:t>1.2.</w:t>
      </w:r>
      <w:r>
        <w:rPr>
          <w:rFonts w:ascii="仿宋" w:hAnsi="仿宋" w:eastAsia="仿宋" w:cs="仿宋"/>
        </w:rPr>
        <w:t>4</w:t>
      </w:r>
      <w:r>
        <w:rPr>
          <w:rFonts w:hint="eastAsia" w:ascii="仿宋" w:hAnsi="仿宋" w:eastAsia="仿宋" w:cs="仿宋"/>
        </w:rPr>
        <w:t>申请材料报送</w:t>
      </w:r>
      <w:bookmarkEnd w:id="124"/>
      <w:bookmarkEnd w:id="125"/>
      <w:bookmarkEnd w:id="126"/>
      <w:bookmarkEnd w:id="127"/>
      <w:r>
        <w:rPr>
          <w:rFonts w:hint="eastAsia" w:ascii="仿宋" w:hAnsi="仿宋" w:eastAsia="仿宋" w:cs="仿宋"/>
        </w:rPr>
        <w:t>方式</w:t>
      </w:r>
      <w:bookmarkEnd w:id="128"/>
      <w:bookmarkEnd w:id="129"/>
      <w:bookmarkEnd w:id="130"/>
      <w:bookmarkEnd w:id="131"/>
      <w:bookmarkEnd w:id="132"/>
      <w:bookmarkEnd w:id="133"/>
      <w:bookmarkEnd w:id="134"/>
      <w:bookmarkEnd w:id="135"/>
      <w:bookmarkEnd w:id="136"/>
      <w:bookmarkEnd w:id="137"/>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申请材料均需加盖公章，并按如下方式报送：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申请机构办理法人机构</w:t>
      </w:r>
      <w:r>
        <w:rPr>
          <w:rFonts w:hint="eastAsia" w:ascii="仿宋" w:hAnsi="仿宋" w:eastAsia="仿宋" w:cs="仿宋"/>
          <w:sz w:val="32"/>
          <w:szCs w:val="32"/>
          <w:lang w:eastAsia="zh-CN"/>
        </w:rPr>
        <w:t>加入</w:t>
      </w:r>
      <w:r>
        <w:rPr>
          <w:rFonts w:hint="eastAsia" w:ascii="仿宋" w:hAnsi="仿宋" w:eastAsia="仿宋" w:cs="仿宋"/>
          <w:sz w:val="32"/>
          <w:szCs w:val="32"/>
        </w:rPr>
        <w:t>、法人机构主体变更、法人机构退出、资金账户变更、预留印鉴变更等事宜，申请机构应向票交所寄送纸质申请材料。涉及主协议备案的，还需向交易商协会寄送主协议签署页。邮寄地址如下：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上海票据交易所：上海市黄浦区半淞园路377号A区上海票据交易所会员部，联系电话：</w:t>
      </w:r>
      <w:r>
        <w:rPr>
          <w:rFonts w:ascii="仿宋" w:hAnsi="仿宋" w:eastAsia="仿宋" w:cs="仿宋"/>
          <w:sz w:val="32"/>
          <w:szCs w:val="32"/>
        </w:rPr>
        <w:t>0</w:t>
      </w:r>
      <w:r>
        <w:rPr>
          <w:rFonts w:hint="eastAsia" w:ascii="仿宋" w:hAnsi="仿宋" w:eastAsia="仿宋" w:cs="仿宋"/>
          <w:sz w:val="32"/>
          <w:szCs w:val="32"/>
        </w:rPr>
        <w:t>21-23139999，邮编：200011。</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中国银行间市场交易商协会：北京市西城区月坛南街1号院6号楼17层交易规范部，联系电话：010-66538115，邮编：100037。</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2.申请机构办理其他</w:t>
      </w:r>
      <w:r>
        <w:rPr>
          <w:rFonts w:hint="eastAsia" w:ascii="仿宋" w:hAnsi="仿宋" w:eastAsia="仿宋" w:cs="仿宋"/>
          <w:sz w:val="32"/>
          <w:szCs w:val="32"/>
          <w:lang w:eastAsia="zh-CN"/>
        </w:rPr>
        <w:t>加入</w:t>
      </w:r>
      <w:r>
        <w:rPr>
          <w:rFonts w:hint="eastAsia" w:ascii="仿宋" w:hAnsi="仿宋" w:eastAsia="仿宋" w:cs="仿宋"/>
          <w:sz w:val="32"/>
          <w:szCs w:val="32"/>
        </w:rPr>
        <w:t>、变更、退出事宜，可通过会员接入平台线上申报，网址：http://ta.shcpe.com.cn。未开通会员接入平台的机构，可通过电子邮件方式，发送申请材料彩色扫描件至票交所指定邮箱：xtjr@shcpe.com.cn。</w:t>
      </w:r>
      <w:bookmarkEnd w:id="89"/>
      <w:bookmarkEnd w:id="90"/>
    </w:p>
    <w:p>
      <w:pPr>
        <w:spacing w:line="590" w:lineRule="exact"/>
        <w:ind w:firstLine="643" w:firstLineChars="200"/>
        <w:rPr>
          <w:rFonts w:ascii="仿宋" w:hAnsi="仿宋" w:eastAsia="仿宋" w:cs="仿宋"/>
          <w:b/>
          <w:sz w:val="32"/>
          <w:szCs w:val="32"/>
        </w:rPr>
      </w:pPr>
      <w:bookmarkStart w:id="138" w:name="_Toc24638"/>
      <w:bookmarkStart w:id="139" w:name="_Toc28860"/>
      <w:bookmarkStart w:id="140" w:name="_Toc15673"/>
      <w:bookmarkStart w:id="141" w:name="_Toc154"/>
      <w:bookmarkStart w:id="142" w:name="_Toc10795"/>
      <w:bookmarkStart w:id="143" w:name="_Toc15728"/>
      <w:bookmarkStart w:id="144" w:name="_Toc17606"/>
      <w:bookmarkStart w:id="145" w:name="_Toc20361"/>
      <w:bookmarkStart w:id="146" w:name="_Toc12861"/>
      <w:bookmarkStart w:id="147" w:name="_Toc31330"/>
      <w:bookmarkStart w:id="148" w:name="_Toc15855"/>
      <w:bookmarkStart w:id="149" w:name="_Toc23096"/>
      <w:bookmarkStart w:id="150" w:name="_Toc3939"/>
      <w:bookmarkStart w:id="151" w:name="_Toc630"/>
      <w:bookmarkStart w:id="152" w:name="_Toc20153"/>
      <w:bookmarkStart w:id="153" w:name="_Toc18312"/>
    </w:p>
    <w:p>
      <w:pPr>
        <w:spacing w:line="590" w:lineRule="exact"/>
        <w:ind w:firstLine="643" w:firstLineChars="200"/>
        <w:outlineLvl w:val="1"/>
        <w:rPr>
          <w:rFonts w:ascii="仿宋" w:hAnsi="仿宋" w:eastAsia="仿宋" w:cs="仿宋"/>
          <w:b/>
          <w:sz w:val="32"/>
          <w:szCs w:val="32"/>
        </w:rPr>
      </w:pPr>
      <w:bookmarkStart w:id="154" w:name="_Toc7903"/>
      <w:bookmarkStart w:id="155" w:name="_Toc27560"/>
      <w:bookmarkStart w:id="156" w:name="_Toc297651587"/>
      <w:r>
        <w:rPr>
          <w:rFonts w:hint="eastAsia" w:ascii="仿宋" w:hAnsi="仿宋" w:eastAsia="仿宋" w:cs="仿宋"/>
          <w:b/>
          <w:sz w:val="32"/>
          <w:szCs w:val="32"/>
        </w:rPr>
        <w:t>1.3间接参与者</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4"/>
      <w:bookmarkEnd w:id="155"/>
      <w:bookmarkEnd w:id="156"/>
    </w:p>
    <w:p>
      <w:pPr>
        <w:spacing w:line="590" w:lineRule="exact"/>
        <w:ind w:firstLine="643" w:firstLineChars="200"/>
        <w:outlineLvl w:val="2"/>
        <w:rPr>
          <w:rFonts w:ascii="仿宋" w:hAnsi="仿宋" w:eastAsia="仿宋" w:cs="仿宋"/>
          <w:b/>
          <w:sz w:val="32"/>
          <w:szCs w:val="32"/>
        </w:rPr>
      </w:pPr>
      <w:bookmarkStart w:id="157" w:name="_Toc541564116"/>
      <w:bookmarkStart w:id="158" w:name="_Toc3803"/>
      <w:bookmarkStart w:id="159" w:name="_Toc28181"/>
      <w:bookmarkStart w:id="160" w:name="_Toc3581"/>
      <w:bookmarkStart w:id="161" w:name="_Toc13501"/>
      <w:bookmarkStart w:id="162" w:name="_Toc23351"/>
      <w:bookmarkStart w:id="163" w:name="_Toc7471"/>
      <w:bookmarkStart w:id="164" w:name="_Toc7702"/>
      <w:bookmarkStart w:id="165" w:name="_Toc13504"/>
      <w:bookmarkStart w:id="166" w:name="_Toc5451"/>
      <w:bookmarkStart w:id="167" w:name="_Toc19025"/>
      <w:bookmarkStart w:id="168" w:name="_Toc32640"/>
      <w:bookmarkStart w:id="169" w:name="_Toc22360"/>
      <w:bookmarkStart w:id="170" w:name="_Toc19857"/>
      <w:r>
        <w:rPr>
          <w:rFonts w:hint="eastAsia" w:ascii="仿宋" w:hAnsi="仿宋" w:eastAsia="仿宋" w:cs="仿宋"/>
          <w:b/>
          <w:bCs/>
          <w:sz w:val="32"/>
          <w:szCs w:val="32"/>
        </w:rPr>
        <w:t xml:space="preserve">1.3.1 </w:t>
      </w:r>
      <w:r>
        <w:rPr>
          <w:rFonts w:hint="eastAsia" w:ascii="仿宋" w:hAnsi="仿宋" w:eastAsia="仿宋" w:cs="仿宋"/>
          <w:b/>
          <w:sz w:val="32"/>
          <w:szCs w:val="32"/>
        </w:rPr>
        <w:t>信息备案</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spacing w:line="59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rPr>
        <w:t>参与者服务机构在为间接参与者开通票据业务权限前，应向票交所备案间接参与者的基本信息、属性信息、结算账户等信息。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1.参与者服务机构为间接参与者提供票据业务服务时，对间接参与者身份的真实性及其开通票据业务的真实意愿负审核责任，确保票据上记载的客户信息的真实性、准确性和完整性。</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2.间接参与者为企业的，备案名称及统一社会信用代码应与营业执照和国家企业信息公示系统中相关信息一致。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间接参与者为</w:t>
      </w:r>
      <w:r>
        <w:rPr>
          <w:rFonts w:hint="eastAsia" w:ascii="仿宋" w:hAnsi="仿宋" w:eastAsia="仿宋" w:cs="仿宋"/>
          <w:sz w:val="32"/>
          <w:szCs w:val="32"/>
          <w:lang w:eastAsia="zh-Hans"/>
        </w:rPr>
        <w:t>非企业法人、非法人组织和自然人的，备案名称应与开立银行结算账户的资格证明文件信息一致。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w:t>
      </w:r>
      <w:r>
        <w:rPr>
          <w:rFonts w:hint="eastAsia" w:ascii="仿宋" w:hAnsi="仿宋" w:eastAsia="仿宋" w:cs="仿宋"/>
          <w:sz w:val="32"/>
          <w:szCs w:val="32"/>
        </w:rPr>
        <w:t>参与者服务机构为金融机构时，备案登记的结算账户开户行应与参与者服务机构为同一法人。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w:t>
      </w:r>
      <w:r>
        <w:rPr>
          <w:rFonts w:ascii="仿宋" w:hAnsi="仿宋" w:eastAsia="仿宋" w:cs="仿宋"/>
          <w:sz w:val="32"/>
          <w:szCs w:val="32"/>
        </w:rPr>
        <w:t>.</w:t>
      </w:r>
      <w:r>
        <w:rPr>
          <w:rFonts w:hint="eastAsia" w:ascii="仿宋" w:hAnsi="仿宋" w:eastAsia="仿宋" w:cs="仿宋"/>
          <w:sz w:val="32"/>
          <w:szCs w:val="32"/>
        </w:rPr>
        <w:t>间接参与者</w:t>
      </w:r>
      <w:r>
        <w:rPr>
          <w:rFonts w:hint="eastAsia" w:ascii="仿宋" w:hAnsi="仿宋" w:eastAsia="仿宋" w:cs="仿宋"/>
          <w:bCs/>
          <w:color w:val="000000"/>
          <w:sz w:val="32"/>
          <w:szCs w:val="32"/>
          <w:lang w:bidi="ar"/>
        </w:rPr>
        <w:t>通过参与者服务机构办理票据业务时，票据上记载的信息应当与备案信息保持一致。</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3"/>
        <w:rPr>
          <w:rFonts w:hint="eastAsia" w:ascii="仿宋" w:hAnsi="仿宋" w:eastAsia="仿宋" w:cs="仿宋"/>
          <w:b/>
          <w:bCs w:val="0"/>
          <w:color w:val="000000"/>
          <w:sz w:val="32"/>
          <w:szCs w:val="32"/>
          <w:lang w:eastAsia="zh-Hans" w:bidi="ar"/>
        </w:rPr>
      </w:pPr>
      <w:r>
        <w:rPr>
          <w:rFonts w:hint="eastAsia" w:ascii="仿宋" w:hAnsi="仿宋" w:eastAsia="仿宋" w:cs="仿宋"/>
          <w:b/>
          <w:bCs w:val="0"/>
          <w:color w:val="000000"/>
          <w:sz w:val="32"/>
          <w:szCs w:val="32"/>
          <w:lang w:bidi="ar"/>
        </w:rPr>
        <w:t>1.3.1.1</w:t>
      </w:r>
      <w:r>
        <w:rPr>
          <w:rFonts w:hint="eastAsia" w:ascii="仿宋" w:hAnsi="仿宋" w:eastAsia="仿宋" w:cs="仿宋"/>
          <w:b/>
          <w:bCs w:val="0"/>
          <w:color w:val="000000"/>
          <w:sz w:val="32"/>
          <w:szCs w:val="32"/>
          <w:lang w:eastAsia="zh-Hans" w:bidi="ar"/>
        </w:rPr>
        <w:t xml:space="preserve"> 备案信息新增</w:t>
      </w:r>
    </w:p>
    <w:p>
      <w:pPr>
        <w:spacing w:line="590" w:lineRule="exact"/>
        <w:ind w:firstLine="640" w:firstLineChars="200"/>
        <w:rPr>
          <w:rFonts w:ascii="仿宋" w:hAnsi="仿宋" w:eastAsia="仿宋" w:cs="仿宋"/>
          <w:bCs/>
          <w:color w:val="000000"/>
          <w:sz w:val="32"/>
          <w:szCs w:val="32"/>
          <w:lang w:eastAsia="zh-Hans" w:bidi="ar"/>
        </w:rPr>
      </w:pPr>
      <w:r>
        <w:rPr>
          <w:rFonts w:hint="eastAsia" w:ascii="仿宋" w:hAnsi="仿宋" w:eastAsia="仿宋" w:cs="仿宋"/>
          <w:sz w:val="32"/>
          <w:szCs w:val="32"/>
        </w:rPr>
        <w:t>参与者服务机构在为间接参与者开通票据业务相关权限前，向票交所</w:t>
      </w:r>
      <w:r>
        <w:rPr>
          <w:rFonts w:hint="eastAsia" w:ascii="仿宋" w:hAnsi="仿宋" w:eastAsia="仿宋" w:cs="仿宋"/>
          <w:sz w:val="32"/>
          <w:szCs w:val="32"/>
          <w:lang w:eastAsia="zh-Hans"/>
        </w:rPr>
        <w:t>备案</w:t>
      </w:r>
      <w:r>
        <w:rPr>
          <w:rFonts w:hint="eastAsia" w:ascii="仿宋" w:hAnsi="仿宋" w:eastAsia="仿宋" w:cs="仿宋"/>
          <w:sz w:val="32"/>
          <w:szCs w:val="32"/>
        </w:rPr>
        <w:t>参与者信息。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[业务流程]</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参与者服务机构在为间接参与者开通票据业务相关权限前，</w:t>
      </w:r>
      <w:bookmarkStart w:id="171" w:name="_Toc4103"/>
      <w:bookmarkStart w:id="172" w:name="_Toc28822"/>
      <w:r>
        <w:rPr>
          <w:rFonts w:hint="eastAsia" w:ascii="仿宋" w:hAnsi="仿宋" w:eastAsia="仿宋" w:cs="仿宋"/>
          <w:sz w:val="32"/>
          <w:szCs w:val="32"/>
        </w:rPr>
        <w:t>向票交所发送参与者信息维护申请</w:t>
      </w:r>
      <w:bookmarkEnd w:id="171"/>
      <w:bookmarkEnd w:id="172"/>
      <w:r>
        <w:rPr>
          <w:rFonts w:hint="eastAsia" w:ascii="仿宋" w:hAnsi="仿宋" w:eastAsia="仿宋" w:cs="仿宋"/>
          <w:sz w:val="32"/>
          <w:szCs w:val="32"/>
        </w:rPr>
        <w:t>，新增备案间接参与者信息，提交的信息包括：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（1）登记申请人信息；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（3）维护类型（</w:t>
      </w:r>
      <w:r>
        <w:rPr>
          <w:rFonts w:hint="eastAsia" w:ascii="仿宋" w:hAnsi="仿宋" w:eastAsia="仿宋" w:cs="仿宋"/>
          <w:sz w:val="32"/>
          <w:szCs w:val="32"/>
          <w:lang w:eastAsia="zh-CN"/>
        </w:rPr>
        <w:t>“</w:t>
      </w:r>
      <w:r>
        <w:rPr>
          <w:rFonts w:hint="eastAsia" w:ascii="仿宋" w:hAnsi="仿宋" w:eastAsia="仿宋" w:cs="仿宋"/>
          <w:sz w:val="32"/>
          <w:szCs w:val="32"/>
        </w:rPr>
        <w:t>客户信息新增登记</w:t>
      </w:r>
      <w:r>
        <w:rPr>
          <w:rFonts w:hint="eastAsia" w:ascii="仿宋" w:hAnsi="仿宋" w:eastAsia="仿宋" w:cs="仿宋"/>
          <w:sz w:val="32"/>
          <w:szCs w:val="32"/>
          <w:lang w:eastAsia="zh-CN"/>
        </w:rPr>
        <w:t>”</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（4）基本信息：名称、统一社会信用代码、中征码、LEI码、联系邮箱、注册地址、主要经营地址；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5</w:t>
      </w:r>
      <w:r>
        <w:rPr>
          <w:rFonts w:hint="eastAsia" w:ascii="仿宋" w:hAnsi="仿宋" w:eastAsia="仿宋" w:cs="仿宋"/>
          <w:sz w:val="32"/>
          <w:szCs w:val="32"/>
        </w:rPr>
        <w:t>）属性信息：客户规模、行业分类、是否涉农、是否绿色、客户性质、是否科技；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6</w:t>
      </w:r>
      <w:r>
        <w:rPr>
          <w:rFonts w:hint="eastAsia" w:ascii="仿宋" w:hAnsi="仿宋" w:eastAsia="仿宋" w:cs="仿宋"/>
          <w:sz w:val="32"/>
          <w:szCs w:val="32"/>
        </w:rPr>
        <w:t>）信用信息：信用评级、评级主体、评级到期日；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7</w:t>
      </w:r>
      <w:r>
        <w:rPr>
          <w:rFonts w:hint="eastAsia" w:ascii="仿宋" w:hAnsi="仿宋" w:eastAsia="仿宋" w:cs="仿宋"/>
          <w:sz w:val="32"/>
          <w:szCs w:val="32"/>
        </w:rPr>
        <w:t>）结算账户信息：账户名称、账号、开户行行号、账户性质、账户生效日、账户有效期，备用结算账户信息（参与者服务机构为供应链平台时提供）；</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8</w:t>
      </w:r>
      <w:r>
        <w:rPr>
          <w:rFonts w:hint="eastAsia" w:ascii="仿宋" w:hAnsi="仿宋" w:eastAsia="仿宋" w:cs="仿宋"/>
          <w:sz w:val="32"/>
          <w:szCs w:val="32"/>
        </w:rPr>
        <w:t>）联系人信息：姓名、联系电话</w:t>
      </w:r>
      <w:r>
        <w:rPr>
          <w:rFonts w:hint="eastAsia" w:ascii="仿宋" w:hAnsi="仿宋" w:eastAsia="仿宋" w:cs="仿宋"/>
          <w:sz w:val="32"/>
          <w:szCs w:val="32"/>
          <w:lang w:eastAsia="zh-CN"/>
        </w:rPr>
        <w:t>等</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9</w:t>
      </w:r>
      <w:r>
        <w:rPr>
          <w:rFonts w:hint="eastAsia" w:ascii="仿宋" w:hAnsi="仿宋" w:eastAsia="仿宋" w:cs="仿宋"/>
          <w:sz w:val="32"/>
          <w:szCs w:val="32"/>
        </w:rPr>
        <w:t>）附件（参与者服务机构为供应链平台时上传</w:t>
      </w:r>
      <w:r>
        <w:rPr>
          <w:rFonts w:hint="eastAsia" w:ascii="仿宋" w:hAnsi="仿宋" w:eastAsia="仿宋" w:cs="仿宋"/>
          <w:bCs/>
          <w:sz w:val="32"/>
          <w:szCs w:val="32"/>
        </w:rPr>
        <w:t>间接参与者</w:t>
      </w:r>
      <w:r>
        <w:rPr>
          <w:rFonts w:hint="eastAsia" w:ascii="仿宋" w:hAnsi="仿宋" w:eastAsia="仿宋" w:cs="仿宋"/>
          <w:sz w:val="32"/>
          <w:szCs w:val="32"/>
        </w:rPr>
        <w:t>的《票据业务承诺函》）。</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注：</w:t>
      </w:r>
      <w:r>
        <w:rPr>
          <w:rFonts w:hint="eastAsia" w:ascii="仿宋" w:hAnsi="仿宋" w:eastAsia="仿宋" w:cs="仿宋"/>
          <w:bCs/>
          <w:sz w:val="32"/>
          <w:szCs w:val="32"/>
        </w:rPr>
        <w:t>间接参与者</w:t>
      </w:r>
      <w:r>
        <w:rPr>
          <w:rFonts w:hint="eastAsia" w:ascii="仿宋" w:hAnsi="仿宋" w:eastAsia="仿宋" w:cs="仿宋"/>
          <w:sz w:val="32"/>
          <w:szCs w:val="32"/>
        </w:rPr>
        <w:t>基本信息中的“名称”</w:t>
      </w:r>
      <w:r>
        <w:rPr>
          <w:rFonts w:hint="eastAsia" w:ascii="仿宋" w:hAnsi="仿宋" w:eastAsia="仿宋" w:cs="仿宋"/>
          <w:bCs/>
          <w:color w:val="000000"/>
          <w:sz w:val="32"/>
          <w:szCs w:val="32"/>
          <w:lang w:bidi="ar"/>
        </w:rPr>
        <w:t>应当与营业执照</w:t>
      </w:r>
      <w:r>
        <w:rPr>
          <w:rFonts w:hint="eastAsia" w:ascii="仿宋" w:hAnsi="仿宋" w:eastAsia="仿宋" w:cs="仿宋"/>
          <w:color w:val="000000"/>
          <w:kern w:val="0"/>
          <w:sz w:val="32"/>
          <w:szCs w:val="32"/>
          <w:lang w:bidi="ar"/>
        </w:rPr>
        <w:t>等资格证明文件</w:t>
      </w:r>
      <w:r>
        <w:rPr>
          <w:rFonts w:hint="eastAsia" w:ascii="仿宋" w:hAnsi="仿宋" w:eastAsia="仿宋" w:cs="仿宋"/>
          <w:bCs/>
          <w:color w:val="000000"/>
          <w:sz w:val="32"/>
          <w:szCs w:val="32"/>
          <w:lang w:bidi="ar"/>
        </w:rPr>
        <w:t>记载的名称一致；结算账户信息中的“账户名称”应当与间接参与者在开户行开立的结算账户名称一致。</w:t>
      </w:r>
    </w:p>
    <w:p>
      <w:pPr>
        <w:spacing w:line="590" w:lineRule="exact"/>
        <w:ind w:firstLine="640" w:firstLineChars="200"/>
        <w:rPr>
          <w:rFonts w:ascii="仿宋" w:hAnsi="仿宋" w:eastAsia="仿宋" w:cs="仿宋"/>
          <w:sz w:val="32"/>
          <w:szCs w:val="32"/>
          <w:lang w:bidi="ar"/>
        </w:rPr>
      </w:pPr>
      <w:r>
        <w:rPr>
          <w:rFonts w:ascii="仿宋" w:hAnsi="仿宋" w:eastAsia="仿宋" w:cs="仿宋"/>
          <w:sz w:val="32"/>
          <w:szCs w:val="32"/>
        </w:rPr>
        <w:t>2</w:t>
      </w:r>
      <w:r>
        <w:rPr>
          <w:rFonts w:hint="eastAsia" w:ascii="仿宋" w:hAnsi="仿宋" w:eastAsia="仿宋" w:cs="仿宋"/>
          <w:sz w:val="32"/>
          <w:szCs w:val="32"/>
          <w:lang w:bidi="ar"/>
        </w:rPr>
        <w:t>.</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参与者服务机构反馈处理结果。</w:t>
      </w:r>
      <w:r>
        <w:rPr>
          <w:rFonts w:hint="eastAsia" w:ascii="仿宋" w:hAnsi="仿宋" w:eastAsia="仿宋" w:cs="仿宋"/>
          <w:sz w:val="32"/>
          <w:szCs w:val="32"/>
        </w:rPr>
        <w:t>备案通过的，间接参与者可</w:t>
      </w:r>
      <w:r>
        <w:rPr>
          <w:rFonts w:hint="eastAsia" w:ascii="仿宋" w:hAnsi="仿宋" w:eastAsia="仿宋" w:cs="仿宋"/>
          <w:sz w:val="32"/>
          <w:szCs w:val="32"/>
          <w:lang w:bidi="ar"/>
        </w:rPr>
        <w:t>通过该参与者服务机构办理票据业务。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备案未通过的，参与者服务机构可在提示的时间间隔后再次进行备案登记。</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lang w:bidi="ar"/>
        </w:rPr>
        <w:t>3</w:t>
      </w:r>
      <w:r>
        <w:rPr>
          <w:rFonts w:hint="eastAsia" w:ascii="仿宋" w:hAnsi="仿宋" w:eastAsia="仿宋" w:cs="仿宋"/>
          <w:sz w:val="32"/>
          <w:szCs w:val="32"/>
          <w:lang w:bidi="ar"/>
        </w:rPr>
        <w:t>.</w:t>
      </w:r>
      <w:r>
        <w:rPr>
          <w:rFonts w:hint="eastAsia" w:ascii="仿宋" w:hAnsi="仿宋" w:eastAsia="仿宋" w:cs="仿宋"/>
          <w:sz w:val="32"/>
          <w:szCs w:val="32"/>
        </w:rPr>
        <w:t>间接参与者为企业的，当名称或统一社会信用代码在国家企业信息公示系统中未更新或错误时，应在更新或更正后再次进行备案登记。</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3"/>
        <w:rPr>
          <w:rFonts w:ascii="仿宋" w:hAnsi="仿宋" w:eastAsia="仿宋" w:cs="仿宋"/>
          <w:b/>
          <w:sz w:val="32"/>
          <w:szCs w:val="32"/>
        </w:rPr>
      </w:pPr>
      <w:bookmarkStart w:id="173" w:name="_Toc20040"/>
      <w:bookmarkStart w:id="174" w:name="_Toc23195"/>
      <w:bookmarkStart w:id="175" w:name="_Toc29569"/>
      <w:bookmarkStart w:id="176" w:name="_Toc22145"/>
      <w:bookmarkStart w:id="177" w:name="_Toc20135"/>
      <w:bookmarkStart w:id="178" w:name="_Toc2548"/>
      <w:bookmarkStart w:id="179" w:name="_Toc24849"/>
      <w:bookmarkStart w:id="180" w:name="_Toc25373"/>
      <w:bookmarkStart w:id="181" w:name="_Toc12087"/>
      <w:bookmarkStart w:id="182" w:name="_Toc26455"/>
      <w:bookmarkStart w:id="183" w:name="_Toc19641"/>
      <w:bookmarkStart w:id="184" w:name="_Toc14556"/>
      <w:r>
        <w:rPr>
          <w:rFonts w:hint="eastAsia" w:ascii="仿宋" w:hAnsi="仿宋" w:eastAsia="仿宋" w:cs="仿宋"/>
          <w:b/>
          <w:sz w:val="32"/>
          <w:szCs w:val="32"/>
        </w:rPr>
        <w:t>1.3.</w:t>
      </w:r>
      <w:r>
        <w:rPr>
          <w:rFonts w:ascii="仿宋" w:hAnsi="仿宋" w:eastAsia="仿宋" w:cs="仿宋"/>
          <w:b/>
          <w:sz w:val="32"/>
          <w:szCs w:val="32"/>
        </w:rPr>
        <w:t>1.2</w:t>
      </w:r>
      <w:r>
        <w:rPr>
          <w:rFonts w:hint="eastAsia" w:ascii="仿宋" w:hAnsi="仿宋" w:eastAsia="仿宋" w:cs="仿宋"/>
          <w:b/>
          <w:sz w:val="32"/>
          <w:szCs w:val="32"/>
        </w:rPr>
        <w:t xml:space="preserve"> 备案信息维护</w:t>
      </w:r>
      <w:bookmarkEnd w:id="173"/>
      <w:bookmarkEnd w:id="174"/>
      <w:bookmarkEnd w:id="175"/>
      <w:bookmarkEnd w:id="176"/>
      <w:bookmarkEnd w:id="177"/>
      <w:bookmarkEnd w:id="178"/>
      <w:bookmarkEnd w:id="179"/>
      <w:bookmarkEnd w:id="180"/>
      <w:bookmarkEnd w:id="181"/>
      <w:bookmarkEnd w:id="182"/>
      <w:bookmarkEnd w:id="183"/>
      <w:bookmarkEnd w:id="184"/>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当间接参与者的信息发生变化时，参与者服务机构及时维护修改客户的相应备案信息。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1.统一社会信用代码、结算账户账号、开户行行号不可修改。</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2.新增间接参与者结算账户信息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同一社会信用代码下的客户如已有基本存款账户，则不允许上报其他基本存款账户。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w:t>
      </w:r>
      <w:r>
        <w:rPr>
          <w:rFonts w:hint="eastAsia" w:ascii="仿宋" w:hAnsi="仿宋" w:eastAsia="仿宋" w:cs="仿宋"/>
          <w:sz w:val="32"/>
          <w:szCs w:val="32"/>
        </w:rPr>
        <w:t>删除间接参与者结算账户信息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参与者服务机构为金融机构的，如需删除已备案间接参与者的结算账户信息，间接参与者以该结算账户信息办理的承兑、持票(含已出质且未解除质押）、质押（作为质权人且未解除质押）业务，不应存在尚未结清的票据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参与者服务机构为供应链平台的，如需删除已备案间接参与者的结算账户信息（含备案登记的备用结算账户），应确保该结算账户不为间接参与者在供应链平台绑定的最后一个结算账户。如为最后一个结算账户的，间接参与者通过该平台办理的承兑、持票（含已出质且未解除质押）、质押（作为质权人且未解除质押）业务，不应存在尚未结清的票据余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w:t>
      </w:r>
      <w:r>
        <w:rPr>
          <w:rFonts w:ascii="仿宋" w:hAnsi="仿宋" w:eastAsia="仿宋" w:cs="仿宋"/>
          <w:sz w:val="32"/>
          <w:szCs w:val="32"/>
        </w:rPr>
        <w:t>.</w:t>
      </w:r>
      <w:r>
        <w:rPr>
          <w:rFonts w:hint="eastAsia" w:ascii="仿宋" w:hAnsi="仿宋" w:eastAsia="仿宋" w:cs="仿宋"/>
          <w:sz w:val="32"/>
          <w:szCs w:val="32"/>
        </w:rPr>
        <w:t>参与者服务机构维护已备案的间接参与者信息后，票据当事人</w:t>
      </w:r>
      <w:r>
        <w:rPr>
          <w:rFonts w:hint="eastAsia" w:ascii="仿宋" w:hAnsi="仿宋" w:eastAsia="仿宋" w:cs="仿宋"/>
          <w:bCs/>
          <w:color w:val="000000"/>
          <w:sz w:val="32"/>
          <w:szCs w:val="32"/>
          <w:lang w:bidi="ar"/>
        </w:rPr>
        <w:t>通过参与者服务机构办理票据业务时，票据上记载的信息应当与维护后的备案信息保持一致。</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1.间接参与者信息发生变化，参与者服务机构向票交所发送间接参与者信息维护申请，修改备案信息，提交的信息包括：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（1）登记申请人信息；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（3）维护类型（</w:t>
      </w:r>
      <w:r>
        <w:rPr>
          <w:rFonts w:hint="eastAsia" w:ascii="仿宋" w:hAnsi="仿宋" w:eastAsia="仿宋" w:cs="仿宋"/>
          <w:sz w:val="32"/>
          <w:szCs w:val="32"/>
          <w:lang w:eastAsia="zh-CN"/>
        </w:rPr>
        <w:t>“</w:t>
      </w:r>
      <w:r>
        <w:rPr>
          <w:rFonts w:hint="eastAsia" w:ascii="仿宋" w:hAnsi="仿宋" w:eastAsia="仿宋" w:cs="仿宋"/>
          <w:sz w:val="32"/>
          <w:szCs w:val="32"/>
        </w:rPr>
        <w:t>客户信息维护登记</w:t>
      </w:r>
      <w:r>
        <w:rPr>
          <w:rFonts w:hint="eastAsia" w:ascii="仿宋" w:hAnsi="仿宋" w:eastAsia="仿宋" w:cs="仿宋"/>
          <w:sz w:val="32"/>
          <w:szCs w:val="32"/>
          <w:lang w:eastAsia="zh-CN"/>
        </w:rPr>
        <w:t>”</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（4）客户信息；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5</w:t>
      </w:r>
      <w:r>
        <w:rPr>
          <w:rFonts w:hint="eastAsia" w:ascii="仿宋" w:hAnsi="仿宋" w:eastAsia="仿宋" w:cs="仿宋"/>
          <w:sz w:val="32"/>
          <w:szCs w:val="32"/>
        </w:rPr>
        <w:t>）维护信息。</w:t>
      </w:r>
    </w:p>
    <w:p>
      <w:pPr>
        <w:spacing w:line="590" w:lineRule="exact"/>
        <w:ind w:firstLine="640" w:firstLineChars="200"/>
        <w:rPr>
          <w:rFonts w:ascii="仿宋" w:hAnsi="仿宋" w:eastAsia="仿宋" w:cs="仿宋"/>
          <w:sz w:val="32"/>
          <w:szCs w:val="32"/>
          <w:lang w:bidi="ar"/>
        </w:rPr>
      </w:pPr>
      <w:r>
        <w:rPr>
          <w:rFonts w:ascii="仿宋" w:hAnsi="仿宋" w:eastAsia="仿宋" w:cs="仿宋"/>
          <w:sz w:val="32"/>
          <w:szCs w:val="32"/>
          <w:lang w:bidi="ar"/>
        </w:rPr>
        <w:t>2</w:t>
      </w:r>
      <w:r>
        <w:rPr>
          <w:rFonts w:hint="eastAsia" w:ascii="仿宋" w:hAnsi="仿宋" w:eastAsia="仿宋" w:cs="仿宋"/>
          <w:sz w:val="32"/>
          <w:szCs w:val="32"/>
          <w:lang w:bidi="ar"/>
        </w:rPr>
        <w:t>.</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参与者服务机构反馈处理结果。</w:t>
      </w:r>
      <w:r>
        <w:rPr>
          <w:rFonts w:hint="eastAsia" w:ascii="仿宋" w:hAnsi="仿宋" w:eastAsia="仿宋" w:cs="仿宋"/>
          <w:sz w:val="32"/>
          <w:szCs w:val="32"/>
        </w:rPr>
        <w:t>备案信息维护通过的，间接参与者可</w:t>
      </w:r>
      <w:r>
        <w:rPr>
          <w:rFonts w:hint="eastAsia" w:ascii="仿宋" w:hAnsi="仿宋" w:eastAsia="仿宋" w:cs="仿宋"/>
          <w:sz w:val="32"/>
          <w:szCs w:val="32"/>
          <w:lang w:bidi="ar"/>
        </w:rPr>
        <w:t>通过该参与者服务机构，以维护后的备案信息办理票据业务。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备案</w:t>
      </w:r>
      <w:r>
        <w:rPr>
          <w:rFonts w:hint="eastAsia" w:ascii="仿宋" w:hAnsi="仿宋" w:eastAsia="仿宋" w:cs="仿宋"/>
          <w:sz w:val="32"/>
          <w:szCs w:val="32"/>
          <w:lang w:eastAsia="zh-Hans"/>
        </w:rPr>
        <w:t>信息维护</w:t>
      </w:r>
      <w:r>
        <w:rPr>
          <w:rFonts w:hint="eastAsia" w:ascii="仿宋" w:hAnsi="仿宋" w:eastAsia="仿宋" w:cs="仿宋"/>
          <w:sz w:val="32"/>
          <w:szCs w:val="32"/>
        </w:rPr>
        <w:t>未通过的，参与者服务机构可在提示的时间间隔后再次进行备案登记。</w:t>
      </w:r>
    </w:p>
    <w:p>
      <w:pPr>
        <w:numPr>
          <w:ilvl w:val="255"/>
          <w:numId w:val="0"/>
        </w:numPr>
        <w:spacing w:line="590" w:lineRule="exact"/>
        <w:ind w:firstLine="640" w:firstLineChars="200"/>
        <w:rPr>
          <w:rFonts w:ascii="仿宋" w:hAnsi="仿宋" w:eastAsia="仿宋" w:cs="仿宋"/>
          <w:sz w:val="32"/>
          <w:szCs w:val="32"/>
        </w:rPr>
      </w:pPr>
      <w:r>
        <w:rPr>
          <w:rFonts w:ascii="仿宋" w:hAnsi="仿宋" w:eastAsia="仿宋" w:cs="仿宋"/>
          <w:sz w:val="32"/>
          <w:szCs w:val="32"/>
          <w:lang w:bidi="ar"/>
        </w:rPr>
        <w:t>3</w:t>
      </w:r>
      <w:r>
        <w:rPr>
          <w:rFonts w:hint="eastAsia" w:ascii="仿宋" w:hAnsi="仿宋" w:eastAsia="仿宋" w:cs="仿宋"/>
          <w:sz w:val="32"/>
          <w:szCs w:val="32"/>
          <w:lang w:bidi="ar"/>
        </w:rPr>
        <w:t>.</w:t>
      </w:r>
      <w:r>
        <w:rPr>
          <w:rFonts w:hint="eastAsia" w:ascii="仿宋" w:hAnsi="仿宋" w:eastAsia="仿宋" w:cs="仿宋"/>
          <w:sz w:val="32"/>
          <w:szCs w:val="32"/>
        </w:rPr>
        <w:t>间接参与者为企业的，当名称或社会信用代码信息在国家企业信息公示系统中未更新或错误时，应在更新或更正后再次进行备案登记。</w:t>
      </w:r>
    </w:p>
    <w:p>
      <w:pPr>
        <w:numPr>
          <w:ilvl w:val="255"/>
          <w:numId w:val="0"/>
        </w:numPr>
        <w:spacing w:line="590" w:lineRule="exact"/>
        <w:rPr>
          <w:rFonts w:ascii="仿宋" w:hAnsi="仿宋" w:eastAsia="仿宋" w:cs="仿宋"/>
          <w:sz w:val="32"/>
          <w:szCs w:val="32"/>
        </w:rPr>
      </w:pPr>
    </w:p>
    <w:p>
      <w:pPr>
        <w:spacing w:line="590" w:lineRule="exact"/>
        <w:ind w:firstLine="643" w:firstLineChars="200"/>
        <w:outlineLvl w:val="3"/>
        <w:rPr>
          <w:rFonts w:ascii="仿宋" w:hAnsi="仿宋" w:eastAsia="仿宋" w:cs="仿宋"/>
          <w:b/>
          <w:sz w:val="32"/>
          <w:szCs w:val="32"/>
        </w:rPr>
      </w:pPr>
      <w:bookmarkStart w:id="185" w:name="_Toc28554"/>
      <w:bookmarkStart w:id="186" w:name="_Toc11955"/>
      <w:bookmarkStart w:id="187" w:name="_Toc8173"/>
      <w:bookmarkStart w:id="188" w:name="_Toc9856"/>
      <w:bookmarkStart w:id="189" w:name="_Toc27886"/>
      <w:bookmarkStart w:id="190" w:name="_Toc24622"/>
      <w:bookmarkStart w:id="191" w:name="_Toc332"/>
      <w:bookmarkStart w:id="192" w:name="_Toc1560"/>
      <w:bookmarkStart w:id="193" w:name="_Toc11283"/>
      <w:bookmarkStart w:id="194" w:name="_Toc18947"/>
      <w:bookmarkStart w:id="195" w:name="_Toc9644"/>
      <w:bookmarkStart w:id="196" w:name="_Toc14294"/>
      <w:r>
        <w:rPr>
          <w:rFonts w:hint="eastAsia" w:ascii="仿宋" w:hAnsi="仿宋" w:eastAsia="仿宋" w:cs="仿宋"/>
          <w:b/>
          <w:sz w:val="32"/>
          <w:szCs w:val="32"/>
        </w:rPr>
        <w:t>1.3.</w:t>
      </w:r>
      <w:r>
        <w:rPr>
          <w:rFonts w:ascii="仿宋" w:hAnsi="仿宋" w:eastAsia="仿宋" w:cs="仿宋"/>
          <w:b/>
          <w:sz w:val="32"/>
          <w:szCs w:val="32"/>
        </w:rPr>
        <w:t xml:space="preserve">1.3 </w:t>
      </w:r>
      <w:r>
        <w:rPr>
          <w:rFonts w:hint="eastAsia" w:ascii="仿宋" w:hAnsi="仿宋" w:eastAsia="仿宋" w:cs="仿宋"/>
          <w:b/>
          <w:sz w:val="32"/>
          <w:szCs w:val="32"/>
          <w:lang w:eastAsia="zh-Hans"/>
        </w:rPr>
        <w:t>备案信息</w:t>
      </w:r>
      <w:r>
        <w:rPr>
          <w:rFonts w:hint="eastAsia" w:ascii="仿宋" w:hAnsi="仿宋" w:eastAsia="仿宋" w:cs="仿宋"/>
          <w:b/>
          <w:sz w:val="32"/>
          <w:szCs w:val="32"/>
        </w:rPr>
        <w:t>注销</w:t>
      </w:r>
      <w:bookmarkEnd w:id="185"/>
      <w:bookmarkEnd w:id="186"/>
      <w:bookmarkEnd w:id="187"/>
      <w:bookmarkEnd w:id="188"/>
      <w:bookmarkEnd w:id="189"/>
      <w:bookmarkEnd w:id="190"/>
      <w:bookmarkEnd w:id="191"/>
      <w:bookmarkEnd w:id="192"/>
      <w:bookmarkEnd w:id="193"/>
      <w:bookmarkEnd w:id="194"/>
      <w:bookmarkEnd w:id="195"/>
      <w:bookmarkEnd w:id="19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参与者服务机构删除间接参与者备案信息。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该间接参与者在该参与者服务机构下的所有结算账户应已全部删除。</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1.参与者服务机构向票交所发送间接参与者信息维护申请，删除间接参与者备案信息，提交的信息包括：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（1）登记申请人信息；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（3）维护类型（</w:t>
      </w:r>
      <w:r>
        <w:rPr>
          <w:rFonts w:hint="eastAsia" w:ascii="仿宋" w:hAnsi="仿宋" w:eastAsia="仿宋" w:cs="仿宋"/>
          <w:sz w:val="32"/>
          <w:szCs w:val="32"/>
          <w:lang w:eastAsia="zh-CN"/>
        </w:rPr>
        <w:t>“</w:t>
      </w:r>
      <w:r>
        <w:rPr>
          <w:rFonts w:hint="eastAsia" w:ascii="仿宋" w:hAnsi="仿宋" w:eastAsia="仿宋" w:cs="仿宋"/>
          <w:sz w:val="32"/>
          <w:szCs w:val="32"/>
        </w:rPr>
        <w:t>客户信息注销登记</w:t>
      </w:r>
      <w:r>
        <w:rPr>
          <w:rFonts w:hint="eastAsia" w:ascii="仿宋" w:hAnsi="仿宋" w:eastAsia="仿宋" w:cs="仿宋"/>
          <w:sz w:val="32"/>
          <w:szCs w:val="32"/>
          <w:lang w:eastAsia="zh-CN"/>
        </w:rPr>
        <w:t>”</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（4）客户信息。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参与者服务机构反馈处理结果。</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97" w:name="_Toc28765"/>
      <w:bookmarkStart w:id="198" w:name="_Toc18453"/>
      <w:bookmarkStart w:id="199" w:name="_Toc22817"/>
      <w:bookmarkStart w:id="200" w:name="_Toc7168"/>
      <w:bookmarkStart w:id="201" w:name="_Toc21484"/>
      <w:bookmarkStart w:id="202" w:name="_Toc3610"/>
      <w:bookmarkStart w:id="203" w:name="_Toc475195437"/>
      <w:bookmarkStart w:id="204" w:name="_Toc3853"/>
      <w:bookmarkStart w:id="205" w:name="_Toc7263"/>
      <w:r>
        <w:rPr>
          <w:rFonts w:hint="eastAsia" w:ascii="仿宋" w:hAnsi="仿宋" w:eastAsia="仿宋" w:cs="仿宋"/>
          <w:b/>
          <w:bCs/>
          <w:sz w:val="32"/>
          <w:szCs w:val="32"/>
        </w:rPr>
        <w:t>1.3.</w:t>
      </w:r>
      <w:r>
        <w:rPr>
          <w:rFonts w:ascii="仿宋" w:hAnsi="仿宋" w:eastAsia="仿宋" w:cs="仿宋"/>
          <w:b/>
          <w:bCs/>
          <w:sz w:val="32"/>
          <w:szCs w:val="32"/>
        </w:rPr>
        <w:t xml:space="preserve">2 </w:t>
      </w:r>
      <w:r>
        <w:rPr>
          <w:rFonts w:hint="eastAsia" w:ascii="仿宋" w:hAnsi="仿宋" w:eastAsia="仿宋" w:cs="仿宋"/>
          <w:b/>
          <w:bCs/>
          <w:sz w:val="32"/>
          <w:szCs w:val="32"/>
          <w:lang w:eastAsia="zh-Hans"/>
        </w:rPr>
        <w:t>票据</w:t>
      </w:r>
      <w:r>
        <w:rPr>
          <w:rFonts w:hint="eastAsia" w:ascii="仿宋" w:hAnsi="仿宋" w:eastAsia="仿宋" w:cs="仿宋"/>
          <w:b/>
          <w:bCs/>
          <w:sz w:val="32"/>
          <w:szCs w:val="32"/>
        </w:rPr>
        <w:t>账户主动管理</w:t>
      </w:r>
      <w:bookmarkEnd w:id="197"/>
      <w:bookmarkEnd w:id="198"/>
      <w:bookmarkEnd w:id="199"/>
      <w:bookmarkEnd w:id="200"/>
      <w:bookmarkEnd w:id="201"/>
      <w:bookmarkEnd w:id="202"/>
      <w:bookmarkEnd w:id="203"/>
      <w:bookmarkEnd w:id="204"/>
      <w:bookmarkEnd w:id="205"/>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票据账户主动管理是</w:t>
      </w:r>
      <w:r>
        <w:rPr>
          <w:rFonts w:hint="eastAsia" w:ascii="仿宋" w:hAnsi="仿宋" w:eastAsia="仿宋" w:cs="仿宋"/>
          <w:sz w:val="32"/>
          <w:szCs w:val="32"/>
          <w:lang w:eastAsia="zh-Hans"/>
        </w:rPr>
        <w:t>指间接参与者委托其参与者服务机构（主办机构）</w:t>
      </w:r>
      <w:r>
        <w:rPr>
          <w:rFonts w:hint="eastAsia" w:ascii="仿宋" w:hAnsi="仿宋" w:eastAsia="仿宋" w:cs="仿宋"/>
          <w:sz w:val="32"/>
          <w:szCs w:val="32"/>
        </w:rPr>
        <w:t>在票交所登记该参与者所有可办理电票业务的账户信息</w:t>
      </w:r>
      <w:r>
        <w:rPr>
          <w:rFonts w:hint="eastAsia" w:ascii="仿宋" w:hAnsi="仿宋" w:eastAsia="仿宋" w:cs="仿宋"/>
          <w:sz w:val="32"/>
          <w:szCs w:val="32"/>
          <w:lang w:eastAsia="zh-Hans"/>
        </w:rPr>
        <w:t>，同时可以对登记的账户进行业务权限管理，防范被冒名开立虚假账户风险</w:t>
      </w:r>
      <w:r>
        <w:rPr>
          <w:rStyle w:val="25"/>
          <w:rFonts w:hint="eastAsia" w:ascii="仿宋" w:hAnsi="仿宋" w:eastAsia="仿宋" w:cs="仿宋"/>
          <w:sz w:val="32"/>
          <w:szCs w:val="32"/>
          <w:lang w:eastAsia="zh-Hans"/>
        </w:rPr>
        <w:footnoteReference w:id="1"/>
      </w:r>
      <w:r>
        <w:rPr>
          <w:rFonts w:hint="eastAsia" w:ascii="仿宋" w:hAnsi="仿宋" w:eastAsia="仿宋" w:cs="仿宋"/>
          <w:sz w:val="32"/>
          <w:szCs w:val="32"/>
          <w:lang w:eastAsia="zh-Hans"/>
        </w:rPr>
        <w:t>。</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numPr>
          <w:ilvl w:val="0"/>
          <w:numId w:val="2"/>
        </w:numPr>
        <w:spacing w:line="56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lang w:eastAsia="zh-Hans"/>
        </w:rPr>
        <w:t>间接参与者可以自行选择是否开通票据账户主动管理功能。</w:t>
      </w:r>
    </w:p>
    <w:p>
      <w:pPr>
        <w:numPr>
          <w:ilvl w:val="255"/>
          <w:numId w:val="0"/>
        </w:numPr>
        <w:spacing w:line="56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lang w:eastAsia="zh-Hans"/>
        </w:rPr>
        <w:t>（</w:t>
      </w:r>
      <w:r>
        <w:rPr>
          <w:rFonts w:ascii="仿宋" w:hAnsi="仿宋" w:eastAsia="仿宋" w:cs="仿宋"/>
          <w:sz w:val="32"/>
          <w:szCs w:val="32"/>
          <w:lang w:eastAsia="zh-Hans"/>
        </w:rPr>
        <w:t>1</w:t>
      </w:r>
      <w:r>
        <w:rPr>
          <w:rFonts w:hint="eastAsia" w:ascii="仿宋" w:hAnsi="仿宋" w:eastAsia="仿宋" w:cs="仿宋"/>
          <w:sz w:val="32"/>
          <w:szCs w:val="32"/>
          <w:lang w:eastAsia="zh-Hans"/>
        </w:rPr>
        <w:t>）</w:t>
      </w:r>
      <w:r>
        <w:rPr>
          <w:rFonts w:hint="eastAsia" w:ascii="仿宋" w:hAnsi="仿宋" w:eastAsia="仿宋" w:cs="仿宋"/>
          <w:sz w:val="32"/>
          <w:szCs w:val="32"/>
        </w:rPr>
        <w:t>开通票据账户主动管理功能的间接参与者，其在票交所登记的账户可以办理电票业务，未登记的账户不能办理</w:t>
      </w:r>
      <w:r>
        <w:rPr>
          <w:rFonts w:hint="eastAsia" w:ascii="仿宋" w:hAnsi="仿宋" w:eastAsia="仿宋" w:cs="仿宋"/>
          <w:sz w:val="32"/>
          <w:szCs w:val="32"/>
          <w:lang w:eastAsia="zh-Hans"/>
        </w:rPr>
        <w:t>以下</w:t>
      </w:r>
      <w:r>
        <w:rPr>
          <w:rFonts w:hint="eastAsia" w:ascii="仿宋" w:hAnsi="仿宋" w:eastAsia="仿宋" w:cs="仿宋"/>
          <w:sz w:val="32"/>
          <w:szCs w:val="32"/>
        </w:rPr>
        <w:t>电票业务</w:t>
      </w:r>
      <w:r>
        <w:rPr>
          <w:rFonts w:hint="eastAsia" w:ascii="仿宋" w:hAnsi="仿宋" w:eastAsia="仿宋" w:cs="仿宋"/>
          <w:sz w:val="32"/>
          <w:szCs w:val="32"/>
          <w:lang w:eastAsia="zh-Hans"/>
        </w:rPr>
        <w:t>：</w:t>
      </w:r>
      <w:r>
        <w:rPr>
          <w:rFonts w:hint="eastAsia" w:ascii="仿宋" w:hAnsi="仿宋" w:eastAsia="仿宋" w:cs="仿宋"/>
          <w:sz w:val="32"/>
          <w:szCs w:val="32"/>
        </w:rPr>
        <w:t>出票</w:t>
      </w:r>
      <w:r>
        <w:rPr>
          <w:rFonts w:hint="eastAsia" w:ascii="仿宋" w:hAnsi="仿宋" w:eastAsia="仿宋" w:cs="仿宋"/>
          <w:sz w:val="32"/>
          <w:szCs w:val="32"/>
          <w:lang w:eastAsia="zh-Hans"/>
        </w:rPr>
        <w:t>信息登记</w:t>
      </w:r>
      <w:r>
        <w:rPr>
          <w:rFonts w:hint="eastAsia" w:ascii="仿宋" w:hAnsi="仿宋" w:eastAsia="仿宋" w:cs="仿宋"/>
          <w:sz w:val="32"/>
          <w:szCs w:val="32"/>
        </w:rPr>
        <w:t>、</w:t>
      </w:r>
      <w:r>
        <w:rPr>
          <w:rFonts w:hint="eastAsia" w:ascii="仿宋" w:hAnsi="仿宋" w:eastAsia="仿宋" w:cs="仿宋"/>
          <w:sz w:val="32"/>
          <w:szCs w:val="32"/>
          <w:lang w:eastAsia="zh-Hans"/>
        </w:rPr>
        <w:t>提示</w:t>
      </w:r>
      <w:r>
        <w:rPr>
          <w:rFonts w:hint="eastAsia" w:ascii="仿宋" w:hAnsi="仿宋" w:eastAsia="仿宋" w:cs="仿宋"/>
          <w:sz w:val="32"/>
          <w:szCs w:val="32"/>
        </w:rPr>
        <w:t>承兑</w:t>
      </w:r>
      <w:r>
        <w:rPr>
          <w:rFonts w:hint="eastAsia" w:ascii="仿宋" w:hAnsi="仿宋" w:eastAsia="仿宋" w:cs="仿宋"/>
          <w:sz w:val="32"/>
          <w:szCs w:val="32"/>
          <w:lang w:eastAsia="zh-Hans"/>
        </w:rPr>
        <w:t>、提示</w:t>
      </w:r>
      <w:r>
        <w:rPr>
          <w:rFonts w:hint="eastAsia" w:ascii="仿宋" w:hAnsi="仿宋" w:eastAsia="仿宋" w:cs="仿宋"/>
          <w:sz w:val="32"/>
          <w:szCs w:val="32"/>
        </w:rPr>
        <w:t>收票</w:t>
      </w:r>
      <w:r>
        <w:rPr>
          <w:rFonts w:hint="eastAsia" w:ascii="仿宋" w:hAnsi="仿宋" w:eastAsia="仿宋" w:cs="仿宋"/>
          <w:sz w:val="32"/>
          <w:szCs w:val="32"/>
          <w:lang w:eastAsia="zh-Hans"/>
        </w:rPr>
        <w:t>、转让</w:t>
      </w:r>
      <w:r>
        <w:rPr>
          <w:rFonts w:hint="eastAsia" w:ascii="仿宋" w:hAnsi="仿宋" w:eastAsia="仿宋" w:cs="仿宋"/>
          <w:sz w:val="32"/>
          <w:szCs w:val="32"/>
        </w:rPr>
        <w:t>背书</w:t>
      </w:r>
      <w:r>
        <w:rPr>
          <w:rFonts w:hint="eastAsia" w:ascii="仿宋" w:hAnsi="仿宋" w:eastAsia="仿宋" w:cs="仿宋"/>
          <w:sz w:val="32"/>
          <w:szCs w:val="32"/>
          <w:lang w:eastAsia="zh-Hans"/>
        </w:rPr>
        <w:t>、</w:t>
      </w:r>
      <w:r>
        <w:rPr>
          <w:rFonts w:hint="eastAsia" w:ascii="仿宋" w:hAnsi="仿宋" w:eastAsia="仿宋" w:cs="仿宋"/>
          <w:sz w:val="32"/>
          <w:szCs w:val="32"/>
        </w:rPr>
        <w:t>贴现、质押、保证、</w:t>
      </w:r>
      <w:r>
        <w:rPr>
          <w:rFonts w:hint="eastAsia" w:ascii="仿宋" w:hAnsi="仿宋" w:eastAsia="仿宋" w:cs="仿宋"/>
          <w:sz w:val="32"/>
          <w:szCs w:val="32"/>
          <w:lang w:eastAsia="zh-Hans"/>
        </w:rPr>
        <w:t>标准化票据</w:t>
      </w:r>
      <w:r>
        <w:rPr>
          <w:rFonts w:hint="eastAsia" w:ascii="仿宋" w:hAnsi="仿宋" w:eastAsia="仿宋" w:cs="仿宋"/>
          <w:sz w:val="32"/>
          <w:szCs w:val="32"/>
        </w:rPr>
        <w:t>存托。</w:t>
      </w:r>
    </w:p>
    <w:p>
      <w:pPr>
        <w:numPr>
          <w:ilvl w:val="255"/>
          <w:numId w:val="0"/>
        </w:num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eastAsia="zh-Hans"/>
        </w:rPr>
        <w:t>（</w:t>
      </w:r>
      <w:r>
        <w:rPr>
          <w:rFonts w:ascii="仿宋" w:hAnsi="仿宋" w:eastAsia="仿宋" w:cs="仿宋"/>
          <w:sz w:val="32"/>
          <w:szCs w:val="32"/>
          <w:lang w:eastAsia="zh-Hans"/>
        </w:rPr>
        <w:t>2</w:t>
      </w:r>
      <w:r>
        <w:rPr>
          <w:rFonts w:hint="eastAsia" w:ascii="仿宋" w:hAnsi="仿宋" w:eastAsia="仿宋" w:cs="仿宋"/>
          <w:sz w:val="32"/>
          <w:szCs w:val="32"/>
          <w:lang w:eastAsia="zh-Hans"/>
        </w:rPr>
        <w:t>）</w:t>
      </w:r>
      <w:r>
        <w:rPr>
          <w:rFonts w:hint="eastAsia" w:ascii="仿宋" w:hAnsi="仿宋" w:eastAsia="仿宋" w:cs="仿宋"/>
          <w:sz w:val="32"/>
          <w:szCs w:val="32"/>
        </w:rPr>
        <w:t>未开通票据账户主动管理功能的</w:t>
      </w:r>
      <w:r>
        <w:rPr>
          <w:rFonts w:hint="eastAsia" w:ascii="仿宋" w:hAnsi="仿宋" w:eastAsia="仿宋" w:cs="仿宋"/>
          <w:sz w:val="32"/>
          <w:szCs w:val="32"/>
          <w:lang w:eastAsia="zh-Hans"/>
        </w:rPr>
        <w:t>间接参与者</w:t>
      </w:r>
      <w:r>
        <w:rPr>
          <w:rFonts w:hint="eastAsia" w:ascii="仿宋" w:hAnsi="仿宋" w:eastAsia="仿宋" w:cs="仿宋"/>
          <w:sz w:val="32"/>
          <w:szCs w:val="32"/>
        </w:rPr>
        <w:t>，不影响其现有电票业务的办理。</w:t>
      </w:r>
    </w:p>
    <w:p>
      <w:pPr>
        <w:spacing w:line="590" w:lineRule="exact"/>
        <w:ind w:firstLine="640"/>
        <w:rPr>
          <w:rFonts w:ascii="仿宋" w:hAnsi="仿宋" w:eastAsia="仿宋" w:cs="仿宋"/>
          <w:sz w:val="32"/>
          <w:szCs w:val="32"/>
        </w:rPr>
      </w:pPr>
      <w:r>
        <w:rPr>
          <w:rFonts w:ascii="仿宋" w:hAnsi="仿宋" w:eastAsia="仿宋" w:cs="仿宋"/>
          <w:sz w:val="32"/>
          <w:szCs w:val="32"/>
          <w:lang w:eastAsia="zh-Hans"/>
        </w:rPr>
        <w:t>2.</w:t>
      </w:r>
      <w:r>
        <w:rPr>
          <w:rFonts w:hint="eastAsia" w:ascii="仿宋" w:hAnsi="仿宋" w:eastAsia="仿宋" w:cs="仿宋"/>
          <w:sz w:val="32"/>
          <w:szCs w:val="32"/>
          <w:lang w:eastAsia="zh-Hans"/>
        </w:rPr>
        <w:t>间接参与者可以自行选择满足第</w:t>
      </w:r>
      <w:r>
        <w:rPr>
          <w:rFonts w:ascii="仿宋" w:hAnsi="仿宋" w:eastAsia="仿宋" w:cs="仿宋"/>
          <w:sz w:val="32"/>
          <w:szCs w:val="32"/>
          <w:lang w:eastAsia="zh-Hans"/>
        </w:rPr>
        <w:t>3</w:t>
      </w:r>
      <w:r>
        <w:rPr>
          <w:rFonts w:hint="eastAsia" w:ascii="仿宋" w:hAnsi="仿宋" w:eastAsia="仿宋" w:cs="仿宋"/>
          <w:sz w:val="32"/>
          <w:szCs w:val="32"/>
          <w:lang w:eastAsia="zh-Hans"/>
        </w:rPr>
        <w:t>点条件的电票业务账户所属的参与者服务机构为主办机构，为其</w:t>
      </w:r>
      <w:r>
        <w:rPr>
          <w:rFonts w:hint="eastAsia" w:ascii="仿宋" w:hAnsi="仿宋" w:eastAsia="仿宋" w:cs="仿宋"/>
          <w:sz w:val="32"/>
          <w:szCs w:val="32"/>
        </w:rPr>
        <w:t>登记所有可办理电票业务的账户信息</w:t>
      </w:r>
      <w:r>
        <w:rPr>
          <w:rFonts w:hint="eastAsia" w:ascii="仿宋" w:hAnsi="仿宋" w:eastAsia="仿宋" w:cs="仿宋"/>
          <w:sz w:val="32"/>
          <w:szCs w:val="32"/>
          <w:lang w:eastAsia="zh-Hans"/>
        </w:rPr>
        <w:t>并进行业务权限管理。该电票业务账户为</w:t>
      </w:r>
      <w:r>
        <w:rPr>
          <w:rFonts w:hint="eastAsia" w:ascii="仿宋" w:hAnsi="仿宋" w:eastAsia="仿宋" w:cs="仿宋"/>
          <w:sz w:val="32"/>
          <w:szCs w:val="32"/>
        </w:rPr>
        <w:t>主办账户，</w:t>
      </w:r>
      <w:r>
        <w:rPr>
          <w:rFonts w:hint="eastAsia" w:ascii="仿宋" w:hAnsi="仿宋" w:eastAsia="仿宋" w:cs="仿宋"/>
          <w:sz w:val="32"/>
          <w:szCs w:val="32"/>
          <w:lang w:eastAsia="zh-Hans"/>
        </w:rPr>
        <w:t>其他登记的电票业务账户为</w:t>
      </w:r>
      <w:r>
        <w:rPr>
          <w:rFonts w:hint="eastAsia" w:ascii="仿宋" w:hAnsi="仿宋" w:eastAsia="仿宋" w:cs="仿宋"/>
          <w:sz w:val="32"/>
          <w:szCs w:val="32"/>
        </w:rPr>
        <w:t>普通账户。</w:t>
      </w:r>
    </w:p>
    <w:p>
      <w:pPr>
        <w:spacing w:line="590" w:lineRule="exact"/>
        <w:ind w:firstLine="640"/>
        <w:rPr>
          <w:rFonts w:ascii="仿宋" w:hAnsi="仿宋" w:eastAsia="仿宋" w:cs="仿宋"/>
          <w:sz w:val="32"/>
          <w:szCs w:val="32"/>
          <w:lang w:eastAsia="zh-Hans"/>
        </w:rPr>
      </w:pPr>
      <w:r>
        <w:rPr>
          <w:rFonts w:hint="eastAsia" w:ascii="仿宋" w:hAnsi="仿宋" w:eastAsia="仿宋" w:cs="仿宋"/>
          <w:sz w:val="32"/>
          <w:szCs w:val="32"/>
          <w:lang w:eastAsia="zh-Hans"/>
        </w:rPr>
        <w:t>3.间接参与者可以选择以下账户为主办账户：</w:t>
      </w:r>
    </w:p>
    <w:p>
      <w:pPr>
        <w:spacing w:line="590" w:lineRule="exact"/>
        <w:ind w:firstLine="640"/>
        <w:rPr>
          <w:rFonts w:ascii="仿宋" w:hAnsi="仿宋" w:eastAsia="仿宋" w:cs="仿宋"/>
          <w:sz w:val="32"/>
          <w:szCs w:val="32"/>
          <w:lang w:eastAsia="zh-Hans"/>
        </w:rPr>
      </w:pPr>
      <w:r>
        <w:rPr>
          <w:rFonts w:hint="eastAsia" w:ascii="仿宋" w:hAnsi="仿宋" w:eastAsia="仿宋" w:cs="仿宋"/>
          <w:sz w:val="32"/>
          <w:szCs w:val="32"/>
          <w:lang w:eastAsia="zh-Hans"/>
        </w:rPr>
        <w:t>（1）银行基本存款账户；</w:t>
      </w:r>
    </w:p>
    <w:p>
      <w:pPr>
        <w:spacing w:line="590" w:lineRule="exact"/>
        <w:ind w:firstLine="640"/>
        <w:rPr>
          <w:rFonts w:ascii="仿宋" w:hAnsi="仿宋" w:eastAsia="仿宋" w:cs="仿宋"/>
          <w:sz w:val="32"/>
          <w:szCs w:val="32"/>
          <w:lang w:eastAsia="zh-Hans"/>
        </w:rPr>
      </w:pPr>
      <w:r>
        <w:rPr>
          <w:rFonts w:hint="eastAsia" w:ascii="仿宋" w:hAnsi="仿宋" w:eastAsia="仿宋" w:cs="仿宋"/>
          <w:sz w:val="32"/>
          <w:szCs w:val="32"/>
          <w:lang w:eastAsia="zh-Hans"/>
        </w:rPr>
        <w:t>（2）所属集团财务公司开立的结算账户；</w:t>
      </w:r>
    </w:p>
    <w:p>
      <w:pPr>
        <w:spacing w:line="590" w:lineRule="exact"/>
        <w:ind w:firstLine="640"/>
        <w:rPr>
          <w:rFonts w:ascii="仿宋" w:hAnsi="仿宋" w:eastAsia="仿宋" w:cs="仿宋"/>
          <w:sz w:val="32"/>
          <w:szCs w:val="32"/>
          <w:lang w:eastAsia="zh-Hans"/>
        </w:rPr>
      </w:pPr>
      <w:r>
        <w:rPr>
          <w:rFonts w:hint="eastAsia" w:ascii="仿宋" w:hAnsi="仿宋" w:eastAsia="仿宋" w:cs="仿宋"/>
          <w:sz w:val="32"/>
          <w:szCs w:val="32"/>
          <w:lang w:eastAsia="zh-Hans"/>
        </w:rPr>
        <w:t>（3）已开立超过六个月，且近三个月持续开展资金结算业务的银行结算账户；</w:t>
      </w:r>
    </w:p>
    <w:p>
      <w:pPr>
        <w:spacing w:line="590" w:lineRule="exact"/>
        <w:ind w:firstLine="640"/>
        <w:rPr>
          <w:rFonts w:ascii="仿宋" w:hAnsi="仿宋" w:eastAsia="仿宋" w:cs="仿宋"/>
          <w:sz w:val="32"/>
          <w:szCs w:val="32"/>
          <w:lang w:eastAsia="zh-Hans"/>
        </w:rPr>
      </w:pPr>
      <w:r>
        <w:rPr>
          <w:rFonts w:hint="eastAsia" w:ascii="仿宋" w:hAnsi="仿宋" w:eastAsia="仿宋" w:cs="仿宋"/>
          <w:sz w:val="32"/>
          <w:szCs w:val="32"/>
          <w:lang w:eastAsia="zh-Hans"/>
        </w:rPr>
        <w:t>（</w:t>
      </w:r>
      <w:r>
        <w:rPr>
          <w:rFonts w:ascii="仿宋" w:hAnsi="仿宋" w:eastAsia="仿宋" w:cs="仿宋"/>
          <w:sz w:val="32"/>
          <w:szCs w:val="32"/>
          <w:lang w:eastAsia="zh-Hans"/>
        </w:rPr>
        <w:t>4</w:t>
      </w:r>
      <w:r>
        <w:rPr>
          <w:rFonts w:hint="eastAsia" w:ascii="仿宋" w:hAnsi="仿宋" w:eastAsia="仿宋" w:cs="仿宋"/>
          <w:sz w:val="32"/>
          <w:szCs w:val="32"/>
          <w:lang w:eastAsia="zh-Hans"/>
        </w:rPr>
        <w:t>）该银行结算账户开户机构已对申请客户完成授信尽职调查，给予该申请客户相应的授信额度。</w:t>
      </w:r>
    </w:p>
    <w:p>
      <w:pPr>
        <w:numPr>
          <w:ilvl w:val="255"/>
          <w:numId w:val="0"/>
        </w:numPr>
        <w:spacing w:line="59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主办机构应</w:t>
      </w:r>
      <w:r>
        <w:rPr>
          <w:rFonts w:hint="eastAsia" w:ascii="仿宋" w:hAnsi="仿宋" w:eastAsia="仿宋" w:cs="仿宋"/>
          <w:sz w:val="32"/>
          <w:szCs w:val="32"/>
          <w:lang w:eastAsia="zh-Hans"/>
        </w:rPr>
        <w:t>当为金融机构，并与主办账户的</w:t>
      </w:r>
      <w:r>
        <w:rPr>
          <w:rFonts w:hint="eastAsia" w:ascii="仿宋" w:hAnsi="仿宋" w:eastAsia="仿宋" w:cs="仿宋"/>
          <w:sz w:val="32"/>
          <w:szCs w:val="32"/>
        </w:rPr>
        <w:t>开户机构</w:t>
      </w:r>
      <w:r>
        <w:rPr>
          <w:rFonts w:hint="eastAsia" w:ascii="仿宋" w:hAnsi="仿宋" w:eastAsia="仿宋" w:cs="仿宋"/>
          <w:sz w:val="32"/>
          <w:szCs w:val="32"/>
          <w:lang w:eastAsia="zh-Hans"/>
        </w:rPr>
        <w:t>为</w:t>
      </w:r>
      <w:r>
        <w:rPr>
          <w:rFonts w:hint="eastAsia" w:ascii="仿宋" w:hAnsi="仿宋" w:eastAsia="仿宋" w:cs="仿宋"/>
          <w:sz w:val="32"/>
          <w:szCs w:val="32"/>
        </w:rPr>
        <w:t>同一法人</w:t>
      </w:r>
      <w:r>
        <w:rPr>
          <w:rFonts w:hint="eastAsia" w:ascii="仿宋" w:hAnsi="仿宋" w:eastAsia="仿宋" w:cs="仿宋"/>
          <w:sz w:val="32"/>
          <w:szCs w:val="32"/>
          <w:lang w:eastAsia="zh-Hans"/>
        </w:rPr>
        <w:t>，</w:t>
      </w:r>
      <w:r>
        <w:rPr>
          <w:rFonts w:hint="eastAsia" w:ascii="仿宋" w:hAnsi="仿宋" w:eastAsia="仿宋" w:cs="仿宋"/>
          <w:sz w:val="32"/>
          <w:szCs w:val="32"/>
        </w:rPr>
        <w:t>负责根据</w:t>
      </w:r>
      <w:r>
        <w:rPr>
          <w:rFonts w:hint="eastAsia" w:ascii="仿宋" w:hAnsi="仿宋" w:eastAsia="仿宋" w:cs="仿宋"/>
          <w:sz w:val="32"/>
          <w:szCs w:val="32"/>
          <w:lang w:eastAsia="zh-Hans"/>
        </w:rPr>
        <w:t>间接参与者的</w:t>
      </w:r>
      <w:r>
        <w:rPr>
          <w:rFonts w:hint="eastAsia" w:ascii="仿宋" w:hAnsi="仿宋" w:eastAsia="仿宋" w:cs="仿宋"/>
          <w:sz w:val="32"/>
          <w:szCs w:val="32"/>
        </w:rPr>
        <w:t>委托，</w:t>
      </w:r>
      <w:r>
        <w:rPr>
          <w:rFonts w:hint="eastAsia" w:ascii="仿宋" w:hAnsi="仿宋" w:eastAsia="仿宋" w:cs="仿宋"/>
          <w:sz w:val="32"/>
          <w:szCs w:val="32"/>
          <w:lang w:eastAsia="zh-Hans"/>
        </w:rPr>
        <w:t>登记该参与者用于办理电票业务的账户</w:t>
      </w:r>
      <w:r>
        <w:rPr>
          <w:rFonts w:hint="eastAsia" w:ascii="仿宋" w:hAnsi="仿宋" w:eastAsia="仿宋" w:cs="仿宋"/>
          <w:sz w:val="32"/>
          <w:szCs w:val="32"/>
        </w:rPr>
        <w:t>。</w:t>
      </w:r>
    </w:p>
    <w:p>
      <w:pPr>
        <w:numPr>
          <w:ilvl w:val="255"/>
          <w:numId w:val="0"/>
        </w:numPr>
        <w:spacing w:line="59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lang w:eastAsia="zh-Hans"/>
        </w:rPr>
        <w:t>5.主办机构应当对开通票据账户主动管理功能的间接参与者的真实性、委托意愿的真实性以及提供资料的真实性、完整性和准确性负审核责任。如发现存在证明文件不实、身份虚假、委托意愿不真实等情况的，应当立即关闭该参与者的票据账户主动管理功能，同时向票交所报告。</w:t>
      </w:r>
    </w:p>
    <w:p>
      <w:pPr>
        <w:spacing w:line="590" w:lineRule="exact"/>
        <w:ind w:firstLine="64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主办机构发生承接，承接后新机构可直接作为主办机构。</w:t>
      </w:r>
    </w:p>
    <w:p>
      <w:pPr>
        <w:numPr>
          <w:ilvl w:val="255"/>
          <w:numId w:val="0"/>
        </w:numPr>
        <w:spacing w:line="590" w:lineRule="exact"/>
        <w:ind w:firstLine="640" w:firstLineChars="200"/>
        <w:rPr>
          <w:rFonts w:ascii="仿宋" w:hAnsi="仿宋" w:eastAsia="仿宋" w:cs="仿宋"/>
          <w:sz w:val="32"/>
          <w:szCs w:val="32"/>
          <w:lang w:eastAsia="zh-Hans"/>
        </w:rPr>
      </w:pPr>
      <w:r>
        <w:rPr>
          <w:rFonts w:ascii="仿宋" w:hAnsi="仿宋" w:eastAsia="仿宋" w:cs="仿宋"/>
          <w:sz w:val="32"/>
          <w:szCs w:val="32"/>
        </w:rPr>
        <w:t>7.</w:t>
      </w:r>
      <w:r>
        <w:rPr>
          <w:rFonts w:hint="eastAsia" w:ascii="仿宋" w:hAnsi="仿宋" w:eastAsia="仿宋" w:cs="仿宋"/>
          <w:sz w:val="32"/>
          <w:szCs w:val="32"/>
        </w:rPr>
        <w:t>普通账户</w:t>
      </w:r>
      <w:r>
        <w:rPr>
          <w:rFonts w:hint="eastAsia" w:ascii="仿宋" w:hAnsi="仿宋" w:eastAsia="仿宋" w:cs="仿宋"/>
          <w:sz w:val="32"/>
          <w:szCs w:val="32"/>
          <w:lang w:eastAsia="zh-Hans"/>
        </w:rPr>
        <w:t>所属的参与者服务机构可以为金融机构，也可以为供应链平台。</w:t>
      </w:r>
    </w:p>
    <w:p>
      <w:pPr>
        <w:numPr>
          <w:ilvl w:val="255"/>
          <w:numId w:val="0"/>
        </w:numPr>
        <w:spacing w:line="590" w:lineRule="exact"/>
        <w:rPr>
          <w:rFonts w:ascii="仿宋" w:hAnsi="仿宋" w:eastAsia="仿宋" w:cs="仿宋"/>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lang w:eastAsia="zh-Hans"/>
        </w:rPr>
      </w:pPr>
      <w:r>
        <w:rPr>
          <w:rFonts w:hint="eastAsia" w:ascii="仿宋" w:hAnsi="仿宋" w:eastAsia="仿宋" w:cs="仿宋"/>
          <w:sz w:val="32"/>
          <w:szCs w:val="32"/>
        </w:rPr>
        <w:t>1.3.</w:t>
      </w:r>
      <w:r>
        <w:rPr>
          <w:rFonts w:ascii="仿宋" w:hAnsi="仿宋" w:eastAsia="仿宋" w:cs="仿宋"/>
          <w:sz w:val="32"/>
          <w:szCs w:val="32"/>
        </w:rPr>
        <w:t>2</w:t>
      </w:r>
      <w:r>
        <w:rPr>
          <w:rFonts w:hint="eastAsia" w:ascii="仿宋" w:hAnsi="仿宋" w:eastAsia="仿宋" w:cs="仿宋"/>
          <w:sz w:val="32"/>
          <w:szCs w:val="32"/>
        </w:rPr>
        <w:t>.1 新增主办账户或普通账户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间接参与者通过</w:t>
      </w:r>
      <w:r>
        <w:rPr>
          <w:rFonts w:hint="eastAsia" w:ascii="仿宋" w:hAnsi="仿宋" w:eastAsia="仿宋" w:cs="仿宋"/>
          <w:sz w:val="32"/>
          <w:szCs w:val="32"/>
          <w:lang w:eastAsia="zh-Hans"/>
        </w:rPr>
        <w:t>主办机构</w:t>
      </w:r>
      <w:r>
        <w:rPr>
          <w:rFonts w:hint="eastAsia" w:ascii="仿宋" w:hAnsi="仿宋" w:eastAsia="仿宋" w:cs="仿宋"/>
          <w:sz w:val="32"/>
          <w:szCs w:val="32"/>
        </w:rPr>
        <w:t>新增主办账户、普通账户信息。</w:t>
      </w:r>
    </w:p>
    <w:p>
      <w:pPr>
        <w:spacing w:line="590" w:lineRule="exact"/>
        <w:ind w:firstLine="643" w:firstLineChars="200"/>
        <w:rPr>
          <w:rFonts w:ascii="仿宋" w:hAnsi="仿宋" w:eastAsia="仿宋" w:cs="仿宋"/>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numPr>
          <w:ilvl w:val="0"/>
          <w:numId w:val="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新增主办账户时，间接参与者</w:t>
      </w:r>
      <w:r>
        <w:rPr>
          <w:rFonts w:hint="eastAsia" w:ascii="仿宋" w:hAnsi="仿宋" w:eastAsia="仿宋" w:cs="仿宋"/>
          <w:sz w:val="32"/>
          <w:szCs w:val="32"/>
          <w:lang w:eastAsia="zh-Hans"/>
        </w:rPr>
        <w:t>的票据账户</w:t>
      </w:r>
      <w:r>
        <w:rPr>
          <w:rFonts w:hint="eastAsia" w:ascii="仿宋" w:hAnsi="仿宋" w:eastAsia="仿宋" w:cs="仿宋"/>
          <w:sz w:val="32"/>
          <w:szCs w:val="32"/>
        </w:rPr>
        <w:t>主动管理</w:t>
      </w:r>
      <w:r>
        <w:rPr>
          <w:rFonts w:hint="eastAsia" w:ascii="仿宋" w:hAnsi="仿宋" w:eastAsia="仿宋" w:cs="仿宋"/>
          <w:sz w:val="32"/>
          <w:szCs w:val="32"/>
          <w:lang w:eastAsia="zh-Hans"/>
        </w:rPr>
        <w:t>功能</w:t>
      </w:r>
      <w:r>
        <w:rPr>
          <w:rFonts w:hint="eastAsia" w:ascii="仿宋" w:hAnsi="仿宋" w:eastAsia="仿宋" w:cs="仿宋"/>
          <w:sz w:val="32"/>
          <w:szCs w:val="32"/>
        </w:rPr>
        <w:t>不得为开通状态</w:t>
      </w:r>
      <w:r>
        <w:rPr>
          <w:rFonts w:hint="eastAsia" w:ascii="仿宋" w:hAnsi="仿宋" w:eastAsia="仿宋" w:cs="仿宋"/>
          <w:sz w:val="32"/>
          <w:szCs w:val="32"/>
          <w:lang w:eastAsia="zh-Hans"/>
        </w:rPr>
        <w:t>；</w:t>
      </w:r>
      <w:r>
        <w:rPr>
          <w:rFonts w:hint="eastAsia" w:ascii="仿宋" w:hAnsi="仿宋" w:eastAsia="仿宋" w:cs="仿宋"/>
          <w:sz w:val="32"/>
          <w:szCs w:val="32"/>
        </w:rPr>
        <w:t>新增</w:t>
      </w:r>
      <w:r>
        <w:rPr>
          <w:rFonts w:hint="eastAsia" w:ascii="仿宋" w:hAnsi="仿宋" w:eastAsia="仿宋" w:cs="仿宋"/>
          <w:sz w:val="32"/>
          <w:szCs w:val="32"/>
          <w:lang w:eastAsia="zh-Hans"/>
        </w:rPr>
        <w:t>主办账户</w:t>
      </w:r>
      <w:r>
        <w:rPr>
          <w:rFonts w:hint="eastAsia" w:ascii="仿宋" w:hAnsi="仿宋" w:eastAsia="仿宋" w:cs="仿宋"/>
          <w:sz w:val="32"/>
          <w:szCs w:val="32"/>
        </w:rPr>
        <w:t>成功后，间接参与者</w:t>
      </w:r>
      <w:r>
        <w:rPr>
          <w:rFonts w:hint="eastAsia" w:ascii="仿宋" w:hAnsi="仿宋" w:eastAsia="仿宋" w:cs="仿宋"/>
          <w:sz w:val="32"/>
          <w:szCs w:val="32"/>
          <w:lang w:eastAsia="zh-Hans"/>
        </w:rPr>
        <w:t>的票据账户</w:t>
      </w:r>
      <w:r>
        <w:rPr>
          <w:rFonts w:hint="eastAsia" w:ascii="仿宋" w:hAnsi="仿宋" w:eastAsia="仿宋" w:cs="仿宋"/>
          <w:sz w:val="32"/>
          <w:szCs w:val="32"/>
        </w:rPr>
        <w:t>主动管理</w:t>
      </w:r>
      <w:r>
        <w:rPr>
          <w:rFonts w:hint="eastAsia" w:ascii="仿宋" w:hAnsi="仿宋" w:eastAsia="仿宋" w:cs="仿宋"/>
          <w:sz w:val="32"/>
          <w:szCs w:val="32"/>
          <w:lang w:eastAsia="zh-Hans"/>
        </w:rPr>
        <w:t>功能</w:t>
      </w:r>
      <w:r>
        <w:rPr>
          <w:rFonts w:hint="eastAsia" w:ascii="仿宋" w:hAnsi="仿宋" w:eastAsia="仿宋" w:cs="仿宋"/>
          <w:sz w:val="32"/>
          <w:szCs w:val="32"/>
        </w:rPr>
        <w:t>开通。</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新增普通账户时，间接参与者主动管理服务必须为开通状态，且该参与者已有主办账户。</w:t>
      </w:r>
    </w:p>
    <w:p>
      <w:pPr>
        <w:numPr>
          <w:ilvl w:val="0"/>
          <w:numId w:val="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主办账户</w:t>
      </w:r>
      <w:r>
        <w:rPr>
          <w:rFonts w:hint="eastAsia" w:ascii="仿宋" w:hAnsi="仿宋" w:eastAsia="仿宋" w:cs="仿宋"/>
          <w:sz w:val="32"/>
          <w:szCs w:val="32"/>
          <w:lang w:eastAsia="zh-Hans"/>
        </w:rPr>
        <w:t>只</w:t>
      </w:r>
      <w:r>
        <w:rPr>
          <w:rFonts w:hint="eastAsia" w:ascii="仿宋" w:hAnsi="仿宋" w:eastAsia="仿宋" w:cs="仿宋"/>
          <w:sz w:val="32"/>
          <w:szCs w:val="32"/>
        </w:rPr>
        <w:t>允许填报1个</w:t>
      </w:r>
      <w:r>
        <w:rPr>
          <w:rFonts w:hint="eastAsia" w:ascii="仿宋" w:hAnsi="仿宋" w:eastAsia="仿宋" w:cs="仿宋"/>
          <w:sz w:val="32"/>
          <w:szCs w:val="32"/>
          <w:lang w:eastAsia="zh-Hans"/>
        </w:rPr>
        <w:t>。</w:t>
      </w:r>
      <w:r>
        <w:rPr>
          <w:rFonts w:hint="eastAsia" w:ascii="仿宋" w:hAnsi="仿宋" w:eastAsia="仿宋" w:cs="仿宋"/>
          <w:sz w:val="32"/>
          <w:szCs w:val="32"/>
        </w:rPr>
        <w:t>普通账户</w:t>
      </w:r>
      <w:r>
        <w:rPr>
          <w:rFonts w:hint="eastAsia" w:ascii="仿宋" w:hAnsi="仿宋" w:eastAsia="仿宋" w:cs="仿宋"/>
          <w:sz w:val="32"/>
          <w:szCs w:val="32"/>
          <w:lang w:eastAsia="zh-Hans"/>
        </w:rPr>
        <w:t>可以</w:t>
      </w:r>
      <w:r>
        <w:rPr>
          <w:rFonts w:hint="eastAsia" w:ascii="仿宋" w:hAnsi="仿宋" w:eastAsia="仿宋" w:cs="仿宋"/>
          <w:sz w:val="32"/>
          <w:szCs w:val="32"/>
        </w:rPr>
        <w:t>允许</w:t>
      </w:r>
      <w:r>
        <w:rPr>
          <w:rFonts w:hint="eastAsia" w:ascii="仿宋" w:hAnsi="仿宋" w:eastAsia="仿宋" w:cs="仿宋"/>
          <w:sz w:val="32"/>
          <w:szCs w:val="32"/>
          <w:lang w:eastAsia="zh-Hans"/>
        </w:rPr>
        <w:t>填报多个</w:t>
      </w:r>
      <w:r>
        <w:rPr>
          <w:rFonts w:hint="eastAsia" w:ascii="仿宋" w:hAnsi="仿宋" w:eastAsia="仿宋" w:cs="仿宋"/>
          <w:sz w:val="32"/>
          <w:szCs w:val="32"/>
        </w:rPr>
        <w:t>。</w:t>
      </w:r>
    </w:p>
    <w:p>
      <w:pPr>
        <w:numPr>
          <w:ilvl w:val="0"/>
          <w:numId w:val="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eastAsia="zh-Hans"/>
        </w:rPr>
        <w:t>账户新增立即生效。</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w:t>
      </w:r>
      <w:r>
        <w:rPr>
          <w:rFonts w:hint="eastAsia" w:ascii="仿宋" w:hAnsi="仿宋" w:eastAsia="仿宋"/>
          <w:b/>
          <w:sz w:val="32"/>
          <w:szCs w:val="32"/>
        </w:rPr>
        <w:t>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1.间接参与者通过主办机构，向票交所发送主动管理申请，新增主办账户，提交的信息包括：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（2）业务信息：操作类型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新增</w:t>
      </w:r>
      <w:r>
        <w:rPr>
          <w:rFonts w:hint="eastAsia" w:ascii="仿宋" w:hAnsi="仿宋" w:eastAsia="仿宋" w:cs="仿宋"/>
          <w:sz w:val="32"/>
          <w:szCs w:val="32"/>
        </w:rPr>
        <w:t>”</w:t>
      </w:r>
      <w:r>
        <w:rPr>
          <w:rFonts w:hint="eastAsia" w:ascii="仿宋" w:hAnsi="仿宋" w:eastAsia="仿宋" w:cs="仿宋"/>
          <w:sz w:val="32"/>
          <w:szCs w:val="32"/>
          <w:lang w:eastAsia="zh-Hans"/>
        </w:rPr>
        <w:t>）</w:t>
      </w:r>
      <w:r>
        <w:rPr>
          <w:rFonts w:hint="eastAsia" w:ascii="仿宋" w:hAnsi="仿宋" w:eastAsia="仿宋" w:cs="仿宋"/>
          <w:sz w:val="32"/>
          <w:szCs w:val="32"/>
        </w:rPr>
        <w:t>、账户类型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主办</w:t>
      </w:r>
      <w:r>
        <w:rPr>
          <w:rFonts w:hint="eastAsia" w:ascii="仿宋" w:hAnsi="仿宋" w:eastAsia="仿宋" w:cs="仿宋"/>
          <w:sz w:val="32"/>
          <w:szCs w:val="32"/>
        </w:rPr>
        <w:t>账户”</w:t>
      </w:r>
      <w:r>
        <w:rPr>
          <w:rFonts w:hint="eastAsia" w:ascii="仿宋" w:hAnsi="仿宋" w:eastAsia="仿宋" w:cs="仿宋"/>
          <w:sz w:val="32"/>
          <w:szCs w:val="32"/>
          <w:lang w:eastAsia="zh-Hans"/>
        </w:rPr>
        <w:t>）</w:t>
      </w:r>
      <w:r>
        <w:rPr>
          <w:rFonts w:hint="eastAsia" w:ascii="仿宋" w:hAnsi="仿宋" w:eastAsia="仿宋" w:cs="仿宋"/>
          <w:sz w:val="32"/>
          <w:szCs w:val="32"/>
        </w:rPr>
        <w:t>、识别类型</w:t>
      </w:r>
      <w:r>
        <w:rPr>
          <w:rFonts w:hint="eastAsia" w:ascii="仿宋" w:hAnsi="仿宋" w:eastAsia="仿宋" w:cs="仿宋"/>
          <w:sz w:val="32"/>
          <w:szCs w:val="32"/>
          <w:lang w:eastAsia="zh-Hans"/>
        </w:rPr>
        <w:t>（</w:t>
      </w:r>
      <w:r>
        <w:rPr>
          <w:rFonts w:hint="eastAsia" w:ascii="仿宋" w:hAnsi="仿宋" w:eastAsia="仿宋" w:cs="仿宋"/>
          <w:sz w:val="32"/>
          <w:szCs w:val="32"/>
          <w:lang w:eastAsia="zh-CN"/>
        </w:rPr>
        <w:t>“</w:t>
      </w:r>
      <w:r>
        <w:rPr>
          <w:rFonts w:hint="eastAsia" w:ascii="仿宋" w:hAnsi="仿宋" w:eastAsia="仿宋" w:cs="仿宋"/>
          <w:sz w:val="32"/>
          <w:szCs w:val="32"/>
          <w:lang w:eastAsia="zh-Hans"/>
        </w:rPr>
        <w:t>银行账户</w:t>
      </w:r>
      <w:r>
        <w:rPr>
          <w:rFonts w:hint="eastAsia" w:ascii="仿宋" w:hAnsi="仿宋" w:eastAsia="仿宋" w:cs="仿宋"/>
          <w:sz w:val="32"/>
          <w:szCs w:val="32"/>
          <w:lang w:eastAsia="zh-CN"/>
        </w:rPr>
        <w:t>”</w:t>
      </w:r>
      <w:r>
        <w:rPr>
          <w:rFonts w:hint="eastAsia" w:ascii="仿宋" w:hAnsi="仿宋" w:eastAsia="仿宋" w:cs="仿宋"/>
          <w:sz w:val="32"/>
          <w:szCs w:val="32"/>
          <w:lang w:eastAsia="zh-Hans"/>
        </w:rPr>
        <w:t>）</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主办机构反馈处理结果。</w:t>
      </w:r>
      <w:r>
        <w:rPr>
          <w:rFonts w:hint="eastAsia" w:ascii="仿宋" w:hAnsi="仿宋" w:eastAsia="仿宋" w:cs="仿宋"/>
          <w:bCs/>
          <w:color w:val="000000"/>
          <w:sz w:val="32"/>
          <w:szCs w:val="32"/>
          <w:lang w:eastAsia="zh-Hans" w:bidi="ar"/>
        </w:rPr>
        <w:t>主办机构收到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3.间接参与者通过主办机构，向票交所发送主动管理申请，新增普通账户，提交的信息包括：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（2）业务信息：操作类型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新增</w:t>
      </w:r>
      <w:r>
        <w:rPr>
          <w:rFonts w:hint="eastAsia" w:ascii="仿宋" w:hAnsi="仿宋" w:eastAsia="仿宋" w:cs="仿宋"/>
          <w:sz w:val="32"/>
          <w:szCs w:val="32"/>
        </w:rPr>
        <w:t>”</w:t>
      </w:r>
      <w:r>
        <w:rPr>
          <w:rFonts w:hint="eastAsia" w:ascii="仿宋" w:hAnsi="仿宋" w:eastAsia="仿宋" w:cs="仿宋"/>
          <w:sz w:val="32"/>
          <w:szCs w:val="32"/>
          <w:lang w:eastAsia="zh-Hans"/>
        </w:rPr>
        <w:t>）</w:t>
      </w:r>
      <w:r>
        <w:rPr>
          <w:rFonts w:hint="eastAsia" w:ascii="仿宋" w:hAnsi="仿宋" w:eastAsia="仿宋" w:cs="仿宋"/>
          <w:sz w:val="32"/>
          <w:szCs w:val="32"/>
        </w:rPr>
        <w:t>、账户类型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普通</w:t>
      </w:r>
      <w:r>
        <w:rPr>
          <w:rFonts w:hint="eastAsia" w:ascii="仿宋" w:hAnsi="仿宋" w:eastAsia="仿宋" w:cs="仿宋"/>
          <w:sz w:val="32"/>
          <w:szCs w:val="32"/>
        </w:rPr>
        <w:t>账户”</w:t>
      </w:r>
      <w:r>
        <w:rPr>
          <w:rFonts w:hint="eastAsia" w:ascii="仿宋" w:hAnsi="仿宋" w:eastAsia="仿宋" w:cs="仿宋"/>
          <w:sz w:val="32"/>
          <w:szCs w:val="32"/>
          <w:lang w:eastAsia="zh-Hans"/>
        </w:rPr>
        <w:t>）</w:t>
      </w:r>
      <w:r>
        <w:rPr>
          <w:rFonts w:hint="eastAsia" w:ascii="仿宋" w:hAnsi="仿宋" w:eastAsia="仿宋" w:cs="仿宋"/>
          <w:sz w:val="32"/>
          <w:szCs w:val="32"/>
        </w:rPr>
        <w:t>、识别类型；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参与者主办机构及普通账户</w:t>
      </w:r>
      <w:r>
        <w:rPr>
          <w:rFonts w:hint="eastAsia" w:ascii="仿宋" w:hAnsi="仿宋" w:eastAsia="仿宋" w:cs="仿宋"/>
          <w:bCs/>
          <w:color w:val="000000"/>
          <w:sz w:val="32"/>
          <w:szCs w:val="32"/>
          <w:lang w:eastAsia="zh-Hans" w:bidi="ar"/>
        </w:rPr>
        <w:t>所属的参与者服务</w:t>
      </w:r>
      <w:r>
        <w:rPr>
          <w:rFonts w:hint="eastAsia" w:ascii="仿宋" w:hAnsi="仿宋" w:eastAsia="仿宋" w:cs="仿宋"/>
          <w:bCs/>
          <w:color w:val="000000"/>
          <w:sz w:val="32"/>
          <w:szCs w:val="32"/>
          <w:lang w:bidi="ar"/>
        </w:rPr>
        <w:t>机构反馈处理结果。参与者服务</w:t>
      </w:r>
      <w:r>
        <w:rPr>
          <w:rFonts w:hint="eastAsia" w:ascii="仿宋" w:hAnsi="仿宋" w:eastAsia="仿宋" w:cs="仿宋"/>
          <w:bCs/>
          <w:color w:val="000000"/>
          <w:sz w:val="32"/>
          <w:szCs w:val="32"/>
          <w:lang w:eastAsia="zh-Hans" w:bidi="ar"/>
        </w:rPr>
        <w:t>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lang w:eastAsia="zh-Hans"/>
        </w:rPr>
      </w:pPr>
      <w:r>
        <w:rPr>
          <w:rFonts w:hint="eastAsia" w:ascii="仿宋" w:hAnsi="仿宋" w:eastAsia="仿宋" w:cs="仿宋"/>
          <w:sz w:val="32"/>
          <w:szCs w:val="32"/>
        </w:rPr>
        <w:t>1.3.</w:t>
      </w:r>
      <w:r>
        <w:rPr>
          <w:rFonts w:ascii="仿宋" w:hAnsi="仿宋" w:eastAsia="仿宋" w:cs="仿宋"/>
          <w:sz w:val="32"/>
          <w:szCs w:val="32"/>
        </w:rPr>
        <w:t>2</w:t>
      </w:r>
      <w:r>
        <w:rPr>
          <w:rFonts w:hint="eastAsia" w:ascii="仿宋" w:hAnsi="仿宋" w:eastAsia="仿宋" w:cs="仿宋"/>
          <w:sz w:val="32"/>
          <w:szCs w:val="32"/>
        </w:rPr>
        <w:t>.2 变更</w:t>
      </w:r>
      <w:r>
        <w:rPr>
          <w:rFonts w:hint="eastAsia" w:ascii="仿宋" w:hAnsi="仿宋" w:eastAsia="仿宋" w:cs="仿宋"/>
          <w:sz w:val="32"/>
          <w:szCs w:val="32"/>
          <w:lang w:eastAsia="zh-Hans"/>
        </w:rPr>
        <w:t>主办账户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已开通</w:t>
      </w:r>
      <w:r>
        <w:rPr>
          <w:rFonts w:hint="eastAsia" w:ascii="仿宋" w:hAnsi="仿宋" w:eastAsia="仿宋" w:cs="仿宋"/>
          <w:sz w:val="32"/>
          <w:szCs w:val="32"/>
          <w:lang w:eastAsia="zh-Hans"/>
        </w:rPr>
        <w:t>票据账户</w:t>
      </w:r>
      <w:r>
        <w:rPr>
          <w:rFonts w:hint="eastAsia" w:ascii="仿宋" w:hAnsi="仿宋" w:eastAsia="仿宋" w:cs="仿宋"/>
          <w:sz w:val="32"/>
          <w:szCs w:val="32"/>
        </w:rPr>
        <w:t>主动管理</w:t>
      </w:r>
      <w:r>
        <w:rPr>
          <w:rFonts w:hint="eastAsia" w:ascii="仿宋" w:hAnsi="仿宋" w:eastAsia="仿宋" w:cs="仿宋"/>
          <w:sz w:val="32"/>
          <w:szCs w:val="32"/>
          <w:lang w:eastAsia="zh-Hans"/>
        </w:rPr>
        <w:t>功能</w:t>
      </w:r>
      <w:r>
        <w:rPr>
          <w:rFonts w:hint="eastAsia" w:ascii="仿宋" w:hAnsi="仿宋" w:eastAsia="仿宋" w:cs="仿宋"/>
          <w:sz w:val="32"/>
          <w:szCs w:val="32"/>
        </w:rPr>
        <w:t>的间接参与者，通过主办机构发起变更申请，变更主办账户。</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.主办账户变更后，主办机构变更为新主办账户</w:t>
      </w:r>
      <w:r>
        <w:rPr>
          <w:rFonts w:hint="eastAsia" w:ascii="仿宋" w:hAnsi="仿宋" w:eastAsia="仿宋" w:cs="仿宋"/>
          <w:sz w:val="32"/>
          <w:szCs w:val="32"/>
          <w:lang w:eastAsia="zh-Hans"/>
        </w:rPr>
        <w:t>所属的参与者服务</w:t>
      </w:r>
      <w:r>
        <w:rPr>
          <w:rFonts w:hint="eastAsia" w:ascii="仿宋" w:hAnsi="仿宋" w:eastAsia="仿宋" w:cs="仿宋"/>
          <w:sz w:val="32"/>
          <w:szCs w:val="32"/>
        </w:rPr>
        <w:t>机构。</w:t>
      </w:r>
    </w:p>
    <w:p>
      <w:pPr>
        <w:spacing w:line="590" w:lineRule="exact"/>
        <w:ind w:firstLine="640" w:firstLineChars="200"/>
        <w:rPr>
          <w:rFonts w:ascii="仿宋" w:hAnsi="仿宋" w:eastAsia="仿宋"/>
          <w:b/>
          <w:sz w:val="32"/>
          <w:szCs w:val="32"/>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w:t>
      </w:r>
      <w:r>
        <w:rPr>
          <w:rFonts w:hint="eastAsia" w:ascii="仿宋" w:hAnsi="仿宋" w:eastAsia="仿宋" w:cs="仿宋"/>
          <w:bCs/>
          <w:color w:val="000000"/>
          <w:sz w:val="32"/>
          <w:szCs w:val="32"/>
          <w:lang w:eastAsia="zh-Hans" w:bidi="ar"/>
        </w:rPr>
        <w:t>变更申请当日日终</w:t>
      </w:r>
      <w:r>
        <w:rPr>
          <w:rFonts w:hint="eastAsia" w:ascii="仿宋" w:hAnsi="仿宋" w:eastAsia="仿宋" w:cs="仿宋"/>
          <w:bCs/>
          <w:color w:val="000000"/>
          <w:sz w:val="32"/>
          <w:szCs w:val="32"/>
          <w:lang w:bidi="ar"/>
        </w:rPr>
        <w:t>仍未完成应答的，票交所</w:t>
      </w:r>
      <w:r>
        <w:rPr>
          <w:rFonts w:hint="eastAsia" w:ascii="仿宋" w:hAnsi="仿宋" w:eastAsia="仿宋" w:cs="仿宋"/>
          <w:bCs/>
          <w:color w:val="000000"/>
          <w:sz w:val="32"/>
          <w:szCs w:val="32"/>
          <w:lang w:eastAsia="zh-Hans" w:bidi="ar"/>
        </w:rPr>
        <w:t>对变更</w:t>
      </w:r>
      <w:r>
        <w:rPr>
          <w:rFonts w:hint="eastAsia" w:ascii="仿宋" w:hAnsi="仿宋" w:eastAsia="仿宋" w:cs="仿宋"/>
          <w:bCs/>
          <w:color w:val="000000"/>
          <w:sz w:val="32"/>
          <w:szCs w:val="32"/>
          <w:lang w:bidi="ar"/>
        </w:rPr>
        <w:t>申请做清退处理。</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w:t>
      </w:r>
      <w:r>
        <w:rPr>
          <w:rFonts w:hint="eastAsia" w:ascii="仿宋" w:hAnsi="仿宋" w:eastAsia="仿宋"/>
          <w:b/>
          <w:sz w:val="32"/>
          <w:szCs w:val="32"/>
        </w:rPr>
        <w:t>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1.间接参与者通过主办机构，向票交所发送变更主办账户申请，提交的信息包括：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（2）业务信息：操作类型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变更</w:t>
      </w:r>
      <w:r>
        <w:rPr>
          <w:rFonts w:hint="eastAsia" w:ascii="仿宋" w:hAnsi="仿宋" w:eastAsia="仿宋" w:cs="仿宋"/>
          <w:sz w:val="32"/>
          <w:szCs w:val="32"/>
        </w:rPr>
        <w:t>”</w:t>
      </w:r>
      <w:r>
        <w:rPr>
          <w:rFonts w:hint="eastAsia" w:ascii="仿宋" w:hAnsi="仿宋" w:eastAsia="仿宋" w:cs="仿宋"/>
          <w:sz w:val="32"/>
          <w:szCs w:val="32"/>
          <w:lang w:eastAsia="zh-Hans"/>
        </w:rPr>
        <w:t>）</w:t>
      </w:r>
      <w:r>
        <w:rPr>
          <w:rFonts w:hint="eastAsia" w:ascii="仿宋" w:hAnsi="仿宋" w:eastAsia="仿宋" w:cs="仿宋"/>
          <w:sz w:val="32"/>
          <w:szCs w:val="32"/>
        </w:rPr>
        <w:t>、账户类型</w:t>
      </w:r>
      <w:r>
        <w:rPr>
          <w:rFonts w:hint="eastAsia" w:ascii="仿宋" w:hAnsi="仿宋" w:eastAsia="仿宋" w:cs="仿宋"/>
          <w:sz w:val="32"/>
          <w:szCs w:val="32"/>
          <w:lang w:eastAsia="zh-Hans"/>
        </w:rPr>
        <w:t>（</w:t>
      </w:r>
      <w:r>
        <w:rPr>
          <w:rFonts w:hint="eastAsia" w:ascii="仿宋" w:hAnsi="仿宋" w:eastAsia="仿宋" w:cs="仿宋"/>
          <w:sz w:val="32"/>
          <w:szCs w:val="32"/>
        </w:rPr>
        <w:t>“</w:t>
      </w:r>
      <w:r>
        <w:rPr>
          <w:rFonts w:hint="eastAsia" w:ascii="仿宋" w:hAnsi="仿宋" w:eastAsia="仿宋" w:cs="仿宋"/>
          <w:sz w:val="32"/>
          <w:szCs w:val="32"/>
          <w:lang w:eastAsia="zh-Hans"/>
        </w:rPr>
        <w:t>主办</w:t>
      </w:r>
      <w:r>
        <w:rPr>
          <w:rFonts w:hint="eastAsia" w:ascii="仿宋" w:hAnsi="仿宋" w:eastAsia="仿宋" w:cs="仿宋"/>
          <w:sz w:val="32"/>
          <w:szCs w:val="32"/>
        </w:rPr>
        <w:t>账户”</w:t>
      </w:r>
      <w:r>
        <w:rPr>
          <w:rFonts w:hint="eastAsia" w:ascii="仿宋" w:hAnsi="仿宋" w:eastAsia="仿宋" w:cs="仿宋"/>
          <w:sz w:val="32"/>
          <w:szCs w:val="32"/>
          <w:lang w:eastAsia="zh-Hans"/>
        </w:rPr>
        <w:t>）</w:t>
      </w:r>
      <w:r>
        <w:rPr>
          <w:rFonts w:hint="eastAsia" w:ascii="仿宋" w:hAnsi="仿宋" w:eastAsia="仿宋" w:cs="仿宋"/>
          <w:sz w:val="32"/>
          <w:szCs w:val="32"/>
        </w:rPr>
        <w:t>、识别类型</w:t>
      </w:r>
      <w:r>
        <w:rPr>
          <w:rFonts w:hint="eastAsia" w:ascii="仿宋" w:hAnsi="仿宋" w:eastAsia="仿宋" w:cs="仿宋"/>
          <w:sz w:val="32"/>
          <w:szCs w:val="32"/>
          <w:lang w:eastAsia="zh-Hans"/>
        </w:rPr>
        <w:t>（</w:t>
      </w:r>
      <w:r>
        <w:rPr>
          <w:rFonts w:hint="eastAsia" w:ascii="仿宋" w:hAnsi="仿宋" w:eastAsia="仿宋" w:cs="仿宋"/>
          <w:sz w:val="32"/>
          <w:szCs w:val="32"/>
          <w:lang w:eastAsia="zh-CN"/>
        </w:rPr>
        <w:t>“</w:t>
      </w:r>
      <w:r>
        <w:rPr>
          <w:rFonts w:hint="eastAsia" w:ascii="仿宋" w:hAnsi="仿宋" w:eastAsia="仿宋" w:cs="仿宋"/>
          <w:sz w:val="32"/>
          <w:szCs w:val="32"/>
          <w:lang w:eastAsia="zh-Hans"/>
        </w:rPr>
        <w:t>银行账户</w:t>
      </w:r>
      <w:r>
        <w:rPr>
          <w:rFonts w:hint="eastAsia" w:ascii="仿宋" w:hAnsi="仿宋" w:eastAsia="仿宋" w:cs="仿宋"/>
          <w:sz w:val="32"/>
          <w:szCs w:val="32"/>
          <w:lang w:eastAsia="zh-CN"/>
        </w:rPr>
        <w:t>”</w:t>
      </w:r>
      <w:r>
        <w:rPr>
          <w:rFonts w:hint="eastAsia" w:ascii="仿宋" w:hAnsi="仿宋" w:eastAsia="仿宋" w:cs="仿宋"/>
          <w:sz w:val="32"/>
          <w:szCs w:val="32"/>
          <w:lang w:eastAsia="zh-Hans"/>
        </w:rPr>
        <w:t>）</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（5）新主办账户信息：参与者服务机构代码、账户名称、账号、开户行机构参与者代码。</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新主办机构收到票交所转发的申请，对申请进行应答（同意或拒绝）。如</w:t>
      </w:r>
      <w:r>
        <w:rPr>
          <w:rFonts w:hint="eastAsia" w:ascii="仿宋" w:hAnsi="仿宋" w:eastAsia="仿宋" w:cs="仿宋"/>
          <w:bCs/>
          <w:color w:val="000000"/>
          <w:sz w:val="32"/>
          <w:szCs w:val="32"/>
          <w:lang w:eastAsia="zh-Hans" w:bidi="ar"/>
        </w:rPr>
        <w:t>应答</w:t>
      </w:r>
      <w:r>
        <w:rPr>
          <w:rFonts w:hint="eastAsia" w:ascii="仿宋" w:hAnsi="仿宋" w:eastAsia="仿宋" w:cs="仿宋"/>
          <w:bCs/>
          <w:color w:val="000000"/>
          <w:sz w:val="32"/>
          <w:szCs w:val="32"/>
          <w:lang w:bidi="ar"/>
        </w:rPr>
        <w:t>为拒绝，申请被驳回。如</w:t>
      </w:r>
      <w:r>
        <w:rPr>
          <w:rFonts w:hint="eastAsia" w:ascii="仿宋" w:hAnsi="仿宋" w:eastAsia="仿宋" w:cs="仿宋"/>
          <w:bCs/>
          <w:color w:val="000000"/>
          <w:sz w:val="32"/>
          <w:szCs w:val="32"/>
          <w:lang w:eastAsia="zh-Hans" w:bidi="ar"/>
        </w:rPr>
        <w:t>应答</w:t>
      </w:r>
      <w:r>
        <w:rPr>
          <w:rFonts w:hint="eastAsia" w:ascii="仿宋" w:hAnsi="仿宋" w:eastAsia="仿宋" w:cs="仿宋"/>
          <w:bCs/>
          <w:color w:val="000000"/>
          <w:sz w:val="32"/>
          <w:szCs w:val="32"/>
          <w:lang w:bidi="ar"/>
        </w:rPr>
        <w:t>为同意，原主办账户删除</w:t>
      </w:r>
      <w:r>
        <w:rPr>
          <w:rFonts w:hint="eastAsia" w:ascii="仿宋" w:hAnsi="仿宋" w:eastAsia="仿宋" w:cs="仿宋"/>
          <w:bCs/>
          <w:color w:val="000000"/>
          <w:sz w:val="32"/>
          <w:szCs w:val="32"/>
          <w:lang w:eastAsia="zh-CN" w:bidi="ar"/>
        </w:rPr>
        <w:t>后不再具备相关权限控制功能</w:t>
      </w:r>
      <w:r>
        <w:rPr>
          <w:rFonts w:hint="eastAsia" w:ascii="仿宋" w:hAnsi="仿宋" w:eastAsia="仿宋" w:cs="仿宋"/>
          <w:bCs/>
          <w:color w:val="000000"/>
          <w:sz w:val="32"/>
          <w:szCs w:val="32"/>
          <w:lang w:bidi="ar"/>
        </w:rPr>
        <w:t>，变更后的</w:t>
      </w:r>
      <w:r>
        <w:rPr>
          <w:rFonts w:hint="eastAsia" w:ascii="仿宋" w:hAnsi="仿宋" w:eastAsia="仿宋" w:cs="仿宋"/>
          <w:bCs/>
          <w:color w:val="000000"/>
          <w:sz w:val="32"/>
          <w:szCs w:val="32"/>
          <w:lang w:eastAsia="zh-CN" w:bidi="ar"/>
        </w:rPr>
        <w:t>新</w:t>
      </w:r>
      <w:r>
        <w:rPr>
          <w:rFonts w:hint="eastAsia" w:ascii="仿宋" w:hAnsi="仿宋" w:eastAsia="仿宋" w:cs="仿宋"/>
          <w:bCs/>
          <w:color w:val="000000"/>
          <w:sz w:val="32"/>
          <w:szCs w:val="32"/>
          <w:lang w:bidi="ar"/>
        </w:rPr>
        <w:t>主办账户按如下规则处理：</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（1）变更后的主办账户若在原有普通账户名单内，则调整为主办账户并保持原账户权限不变；</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（2）变更后的主办账户若不在名单内，则生成新的主办账户。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原主办机构收到票交所转发的应答结果。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4.变更处理成功后，票交所向新主办机构发送通知，下发该</w:t>
      </w:r>
      <w:r>
        <w:rPr>
          <w:rFonts w:hint="eastAsia" w:ascii="仿宋" w:hAnsi="仿宋" w:eastAsia="仿宋" w:cs="仿宋"/>
          <w:bCs/>
          <w:color w:val="000000"/>
          <w:sz w:val="32"/>
          <w:szCs w:val="32"/>
          <w:lang w:eastAsia="zh-Hans" w:bidi="ar"/>
        </w:rPr>
        <w:t>间接参与者</w:t>
      </w:r>
      <w:r>
        <w:rPr>
          <w:rFonts w:hint="eastAsia" w:ascii="仿宋" w:hAnsi="仿宋" w:eastAsia="仿宋" w:cs="仿宋"/>
          <w:bCs/>
          <w:color w:val="000000"/>
          <w:sz w:val="32"/>
          <w:szCs w:val="32"/>
          <w:lang w:bidi="ar"/>
        </w:rPr>
        <w:t>下有效的主办账户</w:t>
      </w:r>
      <w:r>
        <w:rPr>
          <w:rFonts w:hint="eastAsia" w:ascii="仿宋" w:hAnsi="仿宋" w:eastAsia="仿宋" w:cs="仿宋"/>
          <w:bCs/>
          <w:color w:val="000000"/>
          <w:sz w:val="32"/>
          <w:szCs w:val="32"/>
          <w:lang w:eastAsia="zh-Hans" w:bidi="ar"/>
        </w:rPr>
        <w:t>和</w:t>
      </w:r>
      <w:r>
        <w:rPr>
          <w:rFonts w:hint="eastAsia" w:ascii="仿宋" w:hAnsi="仿宋" w:eastAsia="仿宋" w:cs="仿宋"/>
          <w:bCs/>
          <w:color w:val="000000"/>
          <w:sz w:val="32"/>
          <w:szCs w:val="32"/>
          <w:lang w:bidi="ar"/>
        </w:rPr>
        <w:t>普通账户</w:t>
      </w:r>
      <w:r>
        <w:rPr>
          <w:rFonts w:hint="eastAsia" w:ascii="仿宋" w:hAnsi="仿宋" w:eastAsia="仿宋" w:cs="仿宋"/>
          <w:bCs/>
          <w:color w:val="000000"/>
          <w:sz w:val="32"/>
          <w:szCs w:val="32"/>
          <w:lang w:eastAsia="zh-Hans" w:bidi="ar"/>
        </w:rPr>
        <w:t>信息</w:t>
      </w:r>
      <w:r>
        <w:rPr>
          <w:rFonts w:hint="eastAsia" w:ascii="仿宋" w:hAnsi="仿宋" w:eastAsia="仿宋" w:cs="仿宋"/>
          <w:bCs/>
          <w:color w:val="000000"/>
          <w:sz w:val="32"/>
          <w:szCs w:val="32"/>
          <w:lang w:bidi="ar"/>
        </w:rPr>
        <w:t>。新</w:t>
      </w:r>
      <w:r>
        <w:rPr>
          <w:rFonts w:hint="eastAsia" w:ascii="仿宋" w:hAnsi="仿宋" w:eastAsia="仿宋" w:cs="仿宋"/>
          <w:bCs/>
          <w:color w:val="000000"/>
          <w:sz w:val="32"/>
          <w:szCs w:val="32"/>
          <w:lang w:eastAsia="zh-Hans" w:bidi="ar"/>
        </w:rPr>
        <w:t>主办机构收到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1.3.</w:t>
      </w:r>
      <w:r>
        <w:rPr>
          <w:rFonts w:ascii="仿宋" w:hAnsi="仿宋" w:eastAsia="仿宋" w:cs="仿宋"/>
          <w:sz w:val="32"/>
          <w:szCs w:val="32"/>
        </w:rPr>
        <w:t>2</w:t>
      </w:r>
      <w:r>
        <w:rPr>
          <w:rFonts w:hint="eastAsia" w:ascii="仿宋" w:hAnsi="仿宋" w:eastAsia="仿宋" w:cs="仿宋"/>
          <w:sz w:val="32"/>
          <w:szCs w:val="32"/>
        </w:rPr>
        <w:t xml:space="preserve">.3 </w:t>
      </w:r>
      <w:r>
        <w:rPr>
          <w:rFonts w:hint="eastAsia" w:ascii="仿宋" w:hAnsi="仿宋" w:eastAsia="仿宋" w:cs="仿宋"/>
          <w:sz w:val="32"/>
          <w:szCs w:val="32"/>
          <w:lang w:eastAsia="zh-Hans"/>
        </w:rPr>
        <w:t>账户信息</w:t>
      </w:r>
      <w:r>
        <w:rPr>
          <w:rFonts w:hint="eastAsia" w:ascii="仿宋" w:hAnsi="仿宋" w:eastAsia="仿宋" w:cs="仿宋"/>
          <w:sz w:val="32"/>
          <w:szCs w:val="32"/>
        </w:rPr>
        <w:t>维护</w:t>
      </w:r>
    </w:p>
    <w:p>
      <w:pPr>
        <w:spacing w:line="590" w:lineRule="exact"/>
        <w:ind w:firstLine="640"/>
        <w:rPr>
          <w:rFonts w:ascii="仿宋" w:hAnsi="仿宋" w:eastAsia="仿宋" w:cs="仿宋"/>
          <w:sz w:val="32"/>
          <w:szCs w:val="32"/>
        </w:rPr>
      </w:pPr>
      <w:r>
        <w:rPr>
          <w:rFonts w:hint="eastAsia" w:ascii="仿宋" w:hAnsi="仿宋" w:eastAsia="仿宋" w:cs="仿宋"/>
          <w:sz w:val="32"/>
          <w:szCs w:val="32"/>
        </w:rPr>
        <w:t>间接参与者通过主办机构</w:t>
      </w:r>
      <w:r>
        <w:rPr>
          <w:rFonts w:hint="eastAsia" w:ascii="仿宋" w:hAnsi="仿宋" w:eastAsia="仿宋" w:cs="仿宋"/>
          <w:sz w:val="32"/>
          <w:szCs w:val="32"/>
          <w:lang w:eastAsia="zh-Hans"/>
        </w:rPr>
        <w:t>维护</w:t>
      </w:r>
      <w:r>
        <w:rPr>
          <w:rFonts w:hint="eastAsia" w:ascii="仿宋" w:hAnsi="仿宋" w:eastAsia="仿宋" w:cs="仿宋"/>
          <w:sz w:val="32"/>
          <w:szCs w:val="32"/>
        </w:rPr>
        <w:t>主办账户及普通账户信息。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spacing w:line="590" w:lineRule="exact"/>
        <w:ind w:firstLine="640"/>
        <w:rPr>
          <w:rFonts w:ascii="仿宋" w:hAnsi="仿宋" w:eastAsia="仿宋"/>
          <w:b/>
          <w:sz w:val="32"/>
          <w:szCs w:val="32"/>
        </w:rPr>
      </w:pPr>
      <w:r>
        <w:rPr>
          <w:rFonts w:hint="eastAsia" w:ascii="仿宋" w:hAnsi="仿宋" w:eastAsia="仿宋" w:cs="仿宋"/>
          <w:sz w:val="32"/>
          <w:szCs w:val="32"/>
        </w:rPr>
        <w:t>维护账户信息时，仅允许</w:t>
      </w:r>
      <w:r>
        <w:rPr>
          <w:rFonts w:hint="eastAsia" w:ascii="仿宋" w:hAnsi="仿宋" w:eastAsia="仿宋" w:cs="仿宋"/>
          <w:sz w:val="32"/>
          <w:szCs w:val="32"/>
          <w:lang w:eastAsia="zh-Hans"/>
        </w:rPr>
        <w:t>修改该间接参与者的</w:t>
      </w:r>
      <w:r>
        <w:rPr>
          <w:rFonts w:hint="eastAsia" w:ascii="仿宋" w:hAnsi="仿宋" w:eastAsia="仿宋" w:cs="仿宋"/>
          <w:sz w:val="32"/>
          <w:szCs w:val="32"/>
        </w:rPr>
        <w:t>名称信息</w:t>
      </w:r>
      <w:r>
        <w:rPr>
          <w:rFonts w:hint="eastAsia" w:ascii="仿宋" w:hAnsi="仿宋" w:eastAsia="仿宋" w:cs="仿宋"/>
          <w:sz w:val="32"/>
          <w:szCs w:val="32"/>
          <w:lang w:eastAsia="zh-Hans"/>
        </w:rPr>
        <w:t>和账户名称信息</w:t>
      </w:r>
      <w:r>
        <w:rPr>
          <w:rFonts w:hint="eastAsia" w:ascii="仿宋" w:hAnsi="仿宋" w:eastAsia="仿宋" w:cs="仿宋"/>
          <w:sz w:val="32"/>
          <w:szCs w:val="32"/>
        </w:rPr>
        <w:t>，</w:t>
      </w:r>
      <w:r>
        <w:rPr>
          <w:rFonts w:hint="eastAsia" w:ascii="仿宋" w:hAnsi="仿宋" w:eastAsia="仿宋" w:cs="仿宋"/>
          <w:sz w:val="32"/>
          <w:szCs w:val="32"/>
          <w:lang w:eastAsia="zh-Hans"/>
        </w:rPr>
        <w:t>不允许修改</w:t>
      </w:r>
      <w:r>
        <w:rPr>
          <w:rFonts w:hint="eastAsia" w:ascii="仿宋" w:hAnsi="仿宋" w:eastAsia="仿宋" w:cs="仿宋"/>
          <w:sz w:val="32"/>
          <w:szCs w:val="32"/>
        </w:rPr>
        <w:t>统一</w:t>
      </w:r>
      <w:r>
        <w:rPr>
          <w:rFonts w:hint="eastAsia" w:ascii="仿宋" w:hAnsi="仿宋" w:eastAsia="仿宋" w:cs="仿宋"/>
          <w:sz w:val="32"/>
          <w:szCs w:val="32"/>
          <w:lang w:eastAsia="zh-Hans"/>
        </w:rPr>
        <w:t>社会</w:t>
      </w:r>
      <w:r>
        <w:rPr>
          <w:rFonts w:hint="eastAsia" w:ascii="仿宋" w:hAnsi="仿宋" w:eastAsia="仿宋" w:cs="仿宋"/>
          <w:sz w:val="32"/>
          <w:szCs w:val="32"/>
        </w:rPr>
        <w:t>信用代码</w:t>
      </w:r>
      <w:r>
        <w:rPr>
          <w:rFonts w:hint="eastAsia" w:ascii="仿宋" w:hAnsi="仿宋" w:eastAsia="仿宋" w:cs="仿宋"/>
          <w:sz w:val="32"/>
          <w:szCs w:val="32"/>
          <w:lang w:eastAsia="zh-Hans"/>
        </w:rPr>
        <w:t>、</w:t>
      </w:r>
      <w:r>
        <w:rPr>
          <w:rFonts w:hint="eastAsia" w:ascii="仿宋" w:hAnsi="仿宋" w:eastAsia="仿宋" w:cs="仿宋"/>
          <w:sz w:val="32"/>
          <w:szCs w:val="32"/>
        </w:rPr>
        <w:t>账号及开户机构代码。</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w:t>
      </w:r>
      <w:r>
        <w:rPr>
          <w:rFonts w:hint="eastAsia" w:ascii="仿宋" w:hAnsi="仿宋" w:eastAsia="仿宋"/>
          <w:b/>
          <w:sz w:val="32"/>
          <w:szCs w:val="32"/>
        </w:rPr>
        <w:t>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1.间接参与者通过主办机构，向票交所发送主动管理维护申请，维护账户信息及客户信息，提交的信息包括：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w:t>
      </w:r>
      <w:r>
        <w:rPr>
          <w:rFonts w:hint="eastAsia" w:ascii="仿宋" w:hAnsi="仿宋" w:eastAsia="仿宋" w:cs="仿宋"/>
          <w:sz w:val="32"/>
          <w:szCs w:val="32"/>
          <w:lang w:eastAsia="zh-Hans"/>
        </w:rPr>
        <w:t>维护</w:t>
      </w:r>
      <w:r>
        <w:rPr>
          <w:rFonts w:hint="eastAsia" w:ascii="仿宋" w:hAnsi="仿宋" w:eastAsia="仿宋" w:cs="仿宋"/>
          <w:sz w:val="32"/>
          <w:szCs w:val="32"/>
        </w:rPr>
        <w:t>类型、识别类型；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主办机构反馈处理结果。</w:t>
      </w:r>
      <w:r>
        <w:rPr>
          <w:rFonts w:hint="eastAsia" w:ascii="仿宋" w:hAnsi="仿宋" w:eastAsia="仿宋" w:cs="仿宋"/>
          <w:bCs/>
          <w:color w:val="000000"/>
          <w:sz w:val="32"/>
          <w:szCs w:val="32"/>
          <w:lang w:eastAsia="zh-Hans" w:bidi="ar"/>
        </w:rPr>
        <w:t>主办机构收到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1.3.</w:t>
      </w:r>
      <w:r>
        <w:rPr>
          <w:rFonts w:ascii="仿宋" w:hAnsi="仿宋" w:eastAsia="仿宋" w:cs="仿宋"/>
          <w:sz w:val="32"/>
          <w:szCs w:val="32"/>
        </w:rPr>
        <w:t>2</w:t>
      </w:r>
      <w:r>
        <w:rPr>
          <w:rFonts w:hint="eastAsia" w:ascii="仿宋" w:hAnsi="仿宋" w:eastAsia="仿宋" w:cs="仿宋"/>
          <w:sz w:val="32"/>
          <w:szCs w:val="32"/>
        </w:rPr>
        <w:t>.4 账户权限维护</w:t>
      </w:r>
    </w:p>
    <w:p>
      <w:pPr>
        <w:spacing w:line="590" w:lineRule="exact"/>
        <w:ind w:firstLine="640"/>
        <w:rPr>
          <w:rFonts w:ascii="仿宋" w:hAnsi="仿宋" w:eastAsia="仿宋" w:cs="仿宋"/>
          <w:sz w:val="32"/>
          <w:szCs w:val="32"/>
        </w:rPr>
      </w:pPr>
      <w:r>
        <w:rPr>
          <w:rFonts w:hint="eastAsia" w:ascii="仿宋" w:hAnsi="仿宋" w:eastAsia="仿宋" w:cs="仿宋"/>
          <w:sz w:val="32"/>
          <w:szCs w:val="32"/>
        </w:rPr>
        <w:t>间接参与者通过主办机构维护主办账户及普通账户</w:t>
      </w:r>
      <w:r>
        <w:rPr>
          <w:rFonts w:hint="eastAsia" w:ascii="仿宋" w:hAnsi="仿宋" w:eastAsia="仿宋" w:cs="仿宋"/>
          <w:sz w:val="32"/>
          <w:szCs w:val="32"/>
          <w:lang w:eastAsia="zh-Hans"/>
        </w:rPr>
        <w:t>业务</w:t>
      </w:r>
      <w:r>
        <w:rPr>
          <w:rFonts w:hint="eastAsia" w:ascii="仿宋" w:hAnsi="仿宋" w:eastAsia="仿宋" w:cs="仿宋"/>
          <w:sz w:val="32"/>
          <w:szCs w:val="32"/>
        </w:rPr>
        <w:t>权限。</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numPr>
          <w:ilvl w:val="0"/>
          <w:numId w:val="4"/>
        </w:numPr>
        <w:spacing w:line="590" w:lineRule="exact"/>
        <w:ind w:firstLine="640"/>
        <w:rPr>
          <w:rFonts w:ascii="仿宋" w:hAnsi="仿宋" w:eastAsia="仿宋" w:cs="仿宋"/>
          <w:sz w:val="32"/>
          <w:szCs w:val="32"/>
        </w:rPr>
      </w:pPr>
      <w:r>
        <w:rPr>
          <w:rFonts w:hint="eastAsia" w:ascii="仿宋" w:hAnsi="仿宋" w:eastAsia="仿宋" w:cs="仿宋"/>
          <w:sz w:val="32"/>
          <w:szCs w:val="32"/>
        </w:rPr>
        <w:t>主办账户及普通账户</w:t>
      </w:r>
      <w:r>
        <w:rPr>
          <w:rFonts w:hint="eastAsia" w:ascii="仿宋" w:hAnsi="仿宋" w:eastAsia="仿宋" w:cs="仿宋"/>
          <w:sz w:val="32"/>
          <w:szCs w:val="32"/>
          <w:lang w:eastAsia="zh-Hans"/>
        </w:rPr>
        <w:t>完成</w:t>
      </w:r>
      <w:r>
        <w:rPr>
          <w:rFonts w:hint="eastAsia" w:ascii="仿宋" w:hAnsi="仿宋" w:eastAsia="仿宋" w:cs="仿宋"/>
          <w:sz w:val="32"/>
          <w:szCs w:val="32"/>
        </w:rPr>
        <w:t>登记后，</w:t>
      </w:r>
      <w:r>
        <w:rPr>
          <w:rFonts w:hint="eastAsia" w:ascii="仿宋" w:hAnsi="仿宋" w:eastAsia="仿宋" w:cs="仿宋"/>
          <w:sz w:val="32"/>
          <w:szCs w:val="32"/>
          <w:lang w:eastAsia="zh-Hans"/>
        </w:rPr>
        <w:t>账户业务</w:t>
      </w:r>
      <w:r>
        <w:rPr>
          <w:rFonts w:hint="eastAsia" w:ascii="仿宋" w:hAnsi="仿宋" w:eastAsia="仿宋" w:cs="仿宋"/>
          <w:sz w:val="32"/>
          <w:szCs w:val="32"/>
        </w:rPr>
        <w:t>权限默认不作限制</w:t>
      </w:r>
      <w:r>
        <w:rPr>
          <w:rFonts w:hint="eastAsia" w:ascii="仿宋" w:hAnsi="仿宋" w:eastAsia="仿宋" w:cs="仿宋"/>
          <w:sz w:val="32"/>
          <w:szCs w:val="32"/>
          <w:lang w:eastAsia="zh-Hans"/>
        </w:rPr>
        <w:t>，即可以开展所有类型的电票业务</w:t>
      </w:r>
      <w:r>
        <w:rPr>
          <w:rFonts w:hint="eastAsia" w:ascii="仿宋" w:hAnsi="仿宋" w:eastAsia="仿宋" w:cs="仿宋"/>
          <w:sz w:val="32"/>
          <w:szCs w:val="32"/>
        </w:rPr>
        <w:t>。</w:t>
      </w:r>
    </w:p>
    <w:p>
      <w:pPr>
        <w:numPr>
          <w:ilvl w:val="0"/>
          <w:numId w:val="4"/>
        </w:numPr>
        <w:spacing w:line="590" w:lineRule="exact"/>
        <w:ind w:firstLine="640"/>
        <w:rPr>
          <w:rFonts w:ascii="仿宋" w:hAnsi="仿宋" w:eastAsia="仿宋" w:cs="仿宋"/>
          <w:sz w:val="32"/>
          <w:szCs w:val="32"/>
        </w:rPr>
      </w:pPr>
      <w:r>
        <w:rPr>
          <w:rFonts w:hint="eastAsia" w:ascii="仿宋" w:hAnsi="仿宋" w:eastAsia="仿宋" w:cs="仿宋"/>
          <w:sz w:val="32"/>
          <w:szCs w:val="32"/>
        </w:rPr>
        <w:t>间接参与者可通过主办机构，</w:t>
      </w:r>
      <w:r>
        <w:rPr>
          <w:rFonts w:hint="eastAsia" w:ascii="仿宋" w:hAnsi="仿宋" w:eastAsia="仿宋" w:cs="仿宋"/>
          <w:sz w:val="32"/>
          <w:szCs w:val="32"/>
          <w:lang w:eastAsia="zh-Hans"/>
        </w:rPr>
        <w:t>限制</w:t>
      </w:r>
      <w:r>
        <w:rPr>
          <w:rFonts w:hint="eastAsia" w:ascii="仿宋" w:hAnsi="仿宋" w:eastAsia="仿宋" w:cs="仿宋"/>
          <w:sz w:val="32"/>
          <w:szCs w:val="32"/>
        </w:rPr>
        <w:t>其主办账户及普通账户</w:t>
      </w:r>
      <w:r>
        <w:rPr>
          <w:rFonts w:hint="eastAsia" w:ascii="仿宋" w:hAnsi="仿宋" w:eastAsia="仿宋" w:cs="仿宋"/>
          <w:sz w:val="32"/>
          <w:szCs w:val="32"/>
          <w:lang w:eastAsia="zh-Hans"/>
        </w:rPr>
        <w:t>开展以下类型的电票业务</w:t>
      </w:r>
      <w:r>
        <w:rPr>
          <w:rFonts w:hint="eastAsia" w:ascii="仿宋" w:hAnsi="仿宋" w:eastAsia="仿宋" w:cs="仿宋"/>
          <w:sz w:val="32"/>
          <w:szCs w:val="32"/>
        </w:rPr>
        <w:t>：出票</w:t>
      </w:r>
      <w:r>
        <w:rPr>
          <w:rFonts w:hint="eastAsia" w:ascii="仿宋" w:hAnsi="仿宋" w:eastAsia="仿宋" w:cs="仿宋"/>
          <w:sz w:val="32"/>
          <w:szCs w:val="32"/>
          <w:lang w:eastAsia="zh-Hans"/>
        </w:rPr>
        <w:t>信息登记</w:t>
      </w:r>
      <w:r>
        <w:rPr>
          <w:rFonts w:hint="eastAsia" w:ascii="仿宋" w:hAnsi="仿宋" w:eastAsia="仿宋" w:cs="仿宋"/>
          <w:sz w:val="32"/>
          <w:szCs w:val="32"/>
        </w:rPr>
        <w:t>、</w:t>
      </w:r>
      <w:r>
        <w:rPr>
          <w:rFonts w:hint="eastAsia" w:ascii="仿宋" w:hAnsi="仿宋" w:eastAsia="仿宋" w:cs="仿宋"/>
          <w:sz w:val="32"/>
          <w:szCs w:val="32"/>
          <w:lang w:eastAsia="zh-Hans"/>
        </w:rPr>
        <w:t>提示</w:t>
      </w:r>
      <w:r>
        <w:rPr>
          <w:rFonts w:hint="eastAsia" w:ascii="仿宋" w:hAnsi="仿宋" w:eastAsia="仿宋" w:cs="仿宋"/>
          <w:sz w:val="32"/>
          <w:szCs w:val="32"/>
        </w:rPr>
        <w:t>承兑</w:t>
      </w:r>
      <w:r>
        <w:rPr>
          <w:rFonts w:hint="eastAsia" w:ascii="仿宋" w:hAnsi="仿宋" w:eastAsia="仿宋" w:cs="仿宋"/>
          <w:sz w:val="32"/>
          <w:szCs w:val="32"/>
          <w:lang w:eastAsia="zh-Hans"/>
        </w:rPr>
        <w:t>申请、提示</w:t>
      </w:r>
      <w:r>
        <w:rPr>
          <w:rFonts w:hint="eastAsia" w:ascii="仿宋" w:hAnsi="仿宋" w:eastAsia="仿宋" w:cs="仿宋"/>
          <w:sz w:val="32"/>
          <w:szCs w:val="32"/>
        </w:rPr>
        <w:t>承兑</w:t>
      </w:r>
      <w:r>
        <w:rPr>
          <w:rFonts w:hint="eastAsia" w:ascii="仿宋" w:hAnsi="仿宋" w:eastAsia="仿宋" w:cs="仿宋"/>
          <w:sz w:val="32"/>
          <w:szCs w:val="32"/>
          <w:lang w:eastAsia="zh-Hans"/>
        </w:rPr>
        <w:t>应答、提示</w:t>
      </w:r>
      <w:r>
        <w:rPr>
          <w:rFonts w:hint="eastAsia" w:ascii="仿宋" w:hAnsi="仿宋" w:eastAsia="仿宋" w:cs="仿宋"/>
          <w:sz w:val="32"/>
          <w:szCs w:val="32"/>
        </w:rPr>
        <w:t>收票</w:t>
      </w:r>
      <w:r>
        <w:rPr>
          <w:rFonts w:hint="eastAsia" w:ascii="仿宋" w:hAnsi="仿宋" w:eastAsia="仿宋" w:cs="仿宋"/>
          <w:sz w:val="32"/>
          <w:szCs w:val="32"/>
          <w:lang w:eastAsia="zh-Hans"/>
        </w:rPr>
        <w:t>申请、提示</w:t>
      </w:r>
      <w:r>
        <w:rPr>
          <w:rFonts w:hint="eastAsia" w:ascii="仿宋" w:hAnsi="仿宋" w:eastAsia="仿宋" w:cs="仿宋"/>
          <w:sz w:val="32"/>
          <w:szCs w:val="32"/>
        </w:rPr>
        <w:t>收票</w:t>
      </w:r>
      <w:r>
        <w:rPr>
          <w:rFonts w:hint="eastAsia" w:ascii="仿宋" w:hAnsi="仿宋" w:eastAsia="仿宋" w:cs="仿宋"/>
          <w:sz w:val="32"/>
          <w:szCs w:val="32"/>
          <w:lang w:eastAsia="zh-Hans"/>
        </w:rPr>
        <w:t>应答、转让</w:t>
      </w:r>
      <w:r>
        <w:rPr>
          <w:rFonts w:hint="eastAsia" w:ascii="仿宋" w:hAnsi="仿宋" w:eastAsia="仿宋" w:cs="仿宋"/>
          <w:sz w:val="32"/>
          <w:szCs w:val="32"/>
        </w:rPr>
        <w:t>背书</w:t>
      </w:r>
      <w:r>
        <w:rPr>
          <w:rFonts w:hint="eastAsia" w:ascii="仿宋" w:hAnsi="仿宋" w:eastAsia="仿宋" w:cs="仿宋"/>
          <w:sz w:val="32"/>
          <w:szCs w:val="32"/>
          <w:lang w:eastAsia="zh-Hans"/>
        </w:rPr>
        <w:t>申请、转让</w:t>
      </w:r>
      <w:r>
        <w:rPr>
          <w:rFonts w:hint="eastAsia" w:ascii="仿宋" w:hAnsi="仿宋" w:eastAsia="仿宋" w:cs="仿宋"/>
          <w:sz w:val="32"/>
          <w:szCs w:val="32"/>
        </w:rPr>
        <w:t>背书</w:t>
      </w:r>
      <w:r>
        <w:rPr>
          <w:rFonts w:hint="eastAsia" w:ascii="仿宋" w:hAnsi="仿宋" w:eastAsia="仿宋" w:cs="仿宋"/>
          <w:sz w:val="32"/>
          <w:szCs w:val="32"/>
          <w:lang w:eastAsia="zh-Hans"/>
        </w:rPr>
        <w:t>应答、</w:t>
      </w:r>
      <w:r>
        <w:rPr>
          <w:rFonts w:hint="eastAsia" w:ascii="仿宋" w:hAnsi="仿宋" w:eastAsia="仿宋" w:cs="仿宋"/>
          <w:sz w:val="32"/>
          <w:szCs w:val="32"/>
        </w:rPr>
        <w:t>贴现</w:t>
      </w:r>
      <w:r>
        <w:rPr>
          <w:rFonts w:hint="eastAsia" w:ascii="仿宋" w:hAnsi="仿宋" w:eastAsia="仿宋" w:cs="仿宋"/>
          <w:sz w:val="32"/>
          <w:szCs w:val="32"/>
          <w:lang w:eastAsia="zh-Hans"/>
        </w:rPr>
        <w:t>申请</w:t>
      </w:r>
      <w:r>
        <w:rPr>
          <w:rFonts w:hint="eastAsia" w:ascii="仿宋" w:hAnsi="仿宋" w:eastAsia="仿宋" w:cs="仿宋"/>
          <w:sz w:val="32"/>
          <w:szCs w:val="32"/>
        </w:rPr>
        <w:t>、质押</w:t>
      </w:r>
      <w:r>
        <w:rPr>
          <w:rFonts w:hint="eastAsia" w:ascii="仿宋" w:hAnsi="仿宋" w:eastAsia="仿宋" w:cs="仿宋"/>
          <w:sz w:val="32"/>
          <w:szCs w:val="32"/>
          <w:lang w:eastAsia="zh-Hans"/>
        </w:rPr>
        <w:t>申请</w:t>
      </w:r>
      <w:r>
        <w:rPr>
          <w:rFonts w:hint="eastAsia" w:ascii="仿宋" w:hAnsi="仿宋" w:eastAsia="仿宋" w:cs="仿宋"/>
          <w:sz w:val="32"/>
          <w:szCs w:val="32"/>
        </w:rPr>
        <w:t>、</w:t>
      </w:r>
      <w:r>
        <w:rPr>
          <w:rFonts w:hint="eastAsia" w:ascii="仿宋" w:hAnsi="仿宋" w:eastAsia="仿宋" w:cs="仿宋"/>
          <w:sz w:val="32"/>
          <w:szCs w:val="32"/>
          <w:lang w:eastAsia="zh-Hans"/>
        </w:rPr>
        <w:t>质押应答、</w:t>
      </w:r>
      <w:r>
        <w:rPr>
          <w:rFonts w:hint="eastAsia" w:ascii="仿宋" w:hAnsi="仿宋" w:eastAsia="仿宋" w:cs="仿宋"/>
          <w:sz w:val="32"/>
          <w:szCs w:val="32"/>
        </w:rPr>
        <w:t>保证</w:t>
      </w:r>
      <w:r>
        <w:rPr>
          <w:rFonts w:hint="eastAsia" w:ascii="仿宋" w:hAnsi="仿宋" w:eastAsia="仿宋" w:cs="仿宋"/>
          <w:sz w:val="32"/>
          <w:szCs w:val="32"/>
          <w:lang w:eastAsia="zh-Hans"/>
        </w:rPr>
        <w:t>申请</w:t>
      </w:r>
      <w:r>
        <w:rPr>
          <w:rFonts w:hint="eastAsia" w:ascii="仿宋" w:hAnsi="仿宋" w:eastAsia="仿宋" w:cs="仿宋"/>
          <w:sz w:val="32"/>
          <w:szCs w:val="32"/>
        </w:rPr>
        <w:t>、</w:t>
      </w:r>
      <w:r>
        <w:rPr>
          <w:rFonts w:hint="eastAsia" w:ascii="仿宋" w:hAnsi="仿宋" w:eastAsia="仿宋" w:cs="仿宋"/>
          <w:sz w:val="32"/>
          <w:szCs w:val="32"/>
          <w:lang w:eastAsia="zh-Hans"/>
        </w:rPr>
        <w:t>保证应答、标准化票据</w:t>
      </w:r>
      <w:r>
        <w:rPr>
          <w:rFonts w:hint="eastAsia" w:ascii="仿宋" w:hAnsi="仿宋" w:eastAsia="仿宋" w:cs="仿宋"/>
          <w:sz w:val="32"/>
          <w:szCs w:val="32"/>
        </w:rPr>
        <w:t>存托</w:t>
      </w:r>
      <w:r>
        <w:rPr>
          <w:rFonts w:hint="eastAsia" w:ascii="仿宋" w:hAnsi="仿宋" w:eastAsia="仿宋" w:cs="仿宋"/>
          <w:sz w:val="32"/>
          <w:szCs w:val="32"/>
          <w:lang w:eastAsia="zh-Hans"/>
        </w:rPr>
        <w:t>申请（可选择一项或多项）。</w:t>
      </w:r>
    </w:p>
    <w:p>
      <w:pPr>
        <w:numPr>
          <w:ilvl w:val="0"/>
          <w:numId w:val="4"/>
        </w:numPr>
        <w:spacing w:line="590" w:lineRule="exact"/>
        <w:ind w:firstLine="640"/>
        <w:rPr>
          <w:rFonts w:ascii="仿宋" w:hAnsi="仿宋" w:eastAsia="仿宋" w:cs="仿宋"/>
          <w:sz w:val="32"/>
          <w:szCs w:val="32"/>
        </w:rPr>
      </w:pPr>
      <w:r>
        <w:rPr>
          <w:rFonts w:hint="eastAsia" w:ascii="仿宋" w:hAnsi="仿宋" w:eastAsia="仿宋" w:cs="仿宋"/>
          <w:sz w:val="32"/>
          <w:szCs w:val="32"/>
          <w:lang w:eastAsia="zh-Hans"/>
        </w:rPr>
        <w:t>完成账户权限维护后，间接参与者不可通过</w:t>
      </w:r>
      <w:r>
        <w:rPr>
          <w:rFonts w:hint="eastAsia" w:ascii="仿宋" w:hAnsi="仿宋" w:eastAsia="仿宋" w:cs="仿宋"/>
          <w:sz w:val="32"/>
          <w:szCs w:val="32"/>
        </w:rPr>
        <w:t>被维护的</w:t>
      </w:r>
      <w:r>
        <w:rPr>
          <w:rFonts w:hint="eastAsia" w:ascii="仿宋" w:hAnsi="仿宋" w:eastAsia="仿宋" w:cs="仿宋"/>
          <w:sz w:val="32"/>
          <w:szCs w:val="32"/>
          <w:lang w:eastAsia="zh-Hans"/>
        </w:rPr>
        <w:t>账户办理受限制</w:t>
      </w:r>
      <w:r>
        <w:rPr>
          <w:rFonts w:hint="eastAsia" w:ascii="仿宋" w:hAnsi="仿宋" w:eastAsia="仿宋" w:cs="仿宋"/>
          <w:sz w:val="32"/>
          <w:szCs w:val="32"/>
        </w:rPr>
        <w:t>权限的</w:t>
      </w:r>
      <w:r>
        <w:rPr>
          <w:rFonts w:hint="eastAsia" w:ascii="仿宋" w:hAnsi="仿宋" w:eastAsia="仿宋" w:cs="仿宋"/>
          <w:sz w:val="32"/>
          <w:szCs w:val="32"/>
          <w:lang w:eastAsia="zh-Hans"/>
        </w:rPr>
        <w:t>电票业务。</w:t>
      </w:r>
    </w:p>
    <w:p>
      <w:pPr>
        <w:numPr>
          <w:ilvl w:val="255"/>
          <w:numId w:val="0"/>
        </w:numPr>
        <w:spacing w:line="59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账户权限信息维护立即生效。</w:t>
      </w:r>
    </w:p>
    <w:p>
      <w:pPr>
        <w:numPr>
          <w:ilvl w:val="255"/>
          <w:numId w:val="0"/>
        </w:numPr>
        <w:spacing w:line="590" w:lineRule="exact"/>
        <w:ind w:firstLine="640" w:firstLineChars="200"/>
        <w:rPr>
          <w:rFonts w:ascii="仿宋" w:hAnsi="仿宋" w:eastAsia="仿宋" w:cs="仿宋"/>
          <w:sz w:val="32"/>
          <w:szCs w:val="32"/>
        </w:rPr>
      </w:pPr>
      <w:r>
        <w:rPr>
          <w:rFonts w:ascii="仿宋" w:hAnsi="仿宋" w:eastAsia="仿宋" w:cs="仿宋"/>
          <w:sz w:val="32"/>
          <w:szCs w:val="32"/>
          <w:lang w:eastAsia="zh-Hans"/>
        </w:rPr>
        <w:t>5.</w:t>
      </w:r>
      <w:r>
        <w:rPr>
          <w:rFonts w:hint="eastAsia" w:ascii="仿宋" w:hAnsi="仿宋" w:eastAsia="仿宋" w:cs="仿宋"/>
          <w:sz w:val="32"/>
          <w:szCs w:val="32"/>
          <w:lang w:eastAsia="zh-Hans"/>
        </w:rPr>
        <w:t>完成账户</w:t>
      </w:r>
      <w:r>
        <w:rPr>
          <w:rFonts w:hint="eastAsia" w:ascii="仿宋" w:hAnsi="仿宋" w:eastAsia="仿宋" w:cs="仿宋"/>
          <w:sz w:val="32"/>
          <w:szCs w:val="32"/>
        </w:rPr>
        <w:t>权限维护</w:t>
      </w:r>
      <w:r>
        <w:rPr>
          <w:rFonts w:hint="eastAsia" w:ascii="仿宋" w:hAnsi="仿宋" w:eastAsia="仿宋" w:cs="仿宋"/>
          <w:sz w:val="32"/>
          <w:szCs w:val="32"/>
          <w:lang w:eastAsia="zh-Hans"/>
        </w:rPr>
        <w:t>后</w:t>
      </w:r>
      <w:r>
        <w:rPr>
          <w:rFonts w:hint="eastAsia" w:ascii="仿宋" w:hAnsi="仿宋" w:eastAsia="仿宋" w:cs="仿宋"/>
          <w:sz w:val="32"/>
          <w:szCs w:val="32"/>
        </w:rPr>
        <w:t>，新的账户限制权限清单将覆盖原有的限制权限清单。</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w:t>
      </w:r>
      <w:r>
        <w:rPr>
          <w:rFonts w:hint="eastAsia" w:ascii="仿宋" w:hAnsi="仿宋" w:eastAsia="仿宋"/>
          <w:b/>
          <w:sz w:val="32"/>
          <w:szCs w:val="32"/>
        </w:rPr>
        <w:t>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1.间接参与者通过主办机构，向票交所发送主动管理</w:t>
      </w:r>
      <w:r>
        <w:rPr>
          <w:rFonts w:hint="eastAsia" w:ascii="仿宋" w:hAnsi="仿宋" w:eastAsia="仿宋" w:cs="仿宋"/>
          <w:sz w:val="32"/>
          <w:szCs w:val="32"/>
          <w:lang w:eastAsia="zh-Hans"/>
        </w:rPr>
        <w:t>权限</w:t>
      </w:r>
      <w:r>
        <w:rPr>
          <w:rFonts w:hint="eastAsia" w:ascii="仿宋" w:hAnsi="仿宋" w:eastAsia="仿宋" w:cs="仿宋"/>
          <w:sz w:val="32"/>
          <w:szCs w:val="32"/>
        </w:rPr>
        <w:t>维护申请，维护账户</w:t>
      </w:r>
      <w:r>
        <w:rPr>
          <w:rFonts w:hint="eastAsia" w:ascii="仿宋" w:hAnsi="仿宋" w:eastAsia="仿宋" w:cs="仿宋"/>
          <w:sz w:val="32"/>
          <w:szCs w:val="32"/>
          <w:lang w:eastAsia="zh-Hans"/>
        </w:rPr>
        <w:t>业务权限</w:t>
      </w:r>
      <w:r>
        <w:rPr>
          <w:rFonts w:hint="eastAsia" w:ascii="仿宋" w:hAnsi="仿宋" w:eastAsia="仿宋" w:cs="仿宋"/>
          <w:sz w:val="32"/>
          <w:szCs w:val="32"/>
        </w:rPr>
        <w:t>，提交的信息包括：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（2）业务信息：识别类型；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（5）账户限制权限清单。</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向被维护</w:t>
      </w:r>
      <w:r>
        <w:rPr>
          <w:rFonts w:hint="eastAsia" w:ascii="仿宋" w:hAnsi="仿宋" w:eastAsia="仿宋" w:cs="仿宋"/>
          <w:bCs/>
          <w:color w:val="000000"/>
          <w:sz w:val="32"/>
          <w:szCs w:val="32"/>
          <w:lang w:bidi="ar"/>
        </w:rPr>
        <w:t>权限账户所属</w:t>
      </w:r>
      <w:r>
        <w:rPr>
          <w:rFonts w:hint="eastAsia" w:ascii="仿宋" w:hAnsi="仿宋" w:eastAsia="仿宋" w:cs="仿宋"/>
          <w:bCs/>
          <w:color w:val="000000"/>
          <w:sz w:val="32"/>
          <w:szCs w:val="32"/>
          <w:lang w:eastAsia="zh-Hans" w:bidi="ar"/>
        </w:rPr>
        <w:t>的参与者服务机构</w:t>
      </w:r>
      <w:r>
        <w:rPr>
          <w:rFonts w:hint="eastAsia" w:ascii="仿宋" w:hAnsi="仿宋" w:eastAsia="仿宋" w:cs="仿宋"/>
          <w:bCs/>
          <w:color w:val="000000"/>
          <w:sz w:val="32"/>
          <w:szCs w:val="32"/>
          <w:lang w:bidi="ar"/>
        </w:rPr>
        <w:t>反馈处理结果。</w:t>
      </w:r>
      <w:r>
        <w:rPr>
          <w:rFonts w:hint="eastAsia" w:ascii="仿宋" w:hAnsi="仿宋" w:eastAsia="仿宋" w:cs="仿宋"/>
          <w:bCs/>
          <w:color w:val="000000"/>
          <w:sz w:val="32"/>
          <w:szCs w:val="32"/>
          <w:lang w:eastAsia="zh-Hans" w:bidi="ar"/>
        </w:rPr>
        <w:t>参与者服务机构收到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1.3.</w:t>
      </w:r>
      <w:r>
        <w:rPr>
          <w:rFonts w:ascii="仿宋" w:hAnsi="仿宋" w:eastAsia="仿宋" w:cs="仿宋"/>
          <w:sz w:val="32"/>
          <w:szCs w:val="32"/>
        </w:rPr>
        <w:t>2</w:t>
      </w:r>
      <w:r>
        <w:rPr>
          <w:rFonts w:hint="eastAsia" w:ascii="仿宋" w:hAnsi="仿宋" w:eastAsia="仿宋" w:cs="仿宋"/>
          <w:sz w:val="32"/>
          <w:szCs w:val="32"/>
        </w:rPr>
        <w:t>.5 删除主办账户或普通账户</w:t>
      </w:r>
    </w:p>
    <w:p>
      <w:pPr>
        <w:spacing w:line="590" w:lineRule="exact"/>
        <w:ind w:firstLine="640"/>
        <w:rPr>
          <w:rFonts w:ascii="仿宋" w:hAnsi="仿宋" w:eastAsia="仿宋" w:cs="仿宋"/>
          <w:sz w:val="32"/>
          <w:szCs w:val="32"/>
        </w:rPr>
      </w:pPr>
      <w:r>
        <w:rPr>
          <w:rFonts w:hint="eastAsia" w:ascii="仿宋" w:hAnsi="仿宋" w:eastAsia="仿宋" w:cs="仿宋"/>
          <w:sz w:val="32"/>
          <w:szCs w:val="32"/>
        </w:rPr>
        <w:t>间接参与者通过主办机构删除主办账户或普通账户。</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业务规则</w:t>
      </w:r>
      <w:r>
        <w:rPr>
          <w:rFonts w:hint="eastAsia" w:ascii="仿宋" w:hAnsi="仿宋" w:eastAsia="仿宋"/>
          <w:b/>
          <w:sz w:val="32"/>
          <w:szCs w:val="32"/>
        </w:rPr>
        <w:t>]</w:t>
      </w:r>
    </w:p>
    <w:p>
      <w:pPr>
        <w:numPr>
          <w:ilvl w:val="0"/>
          <w:numId w:val="5"/>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删除主办账户时，</w:t>
      </w:r>
      <w:r>
        <w:rPr>
          <w:rFonts w:hint="eastAsia" w:ascii="仿宋" w:hAnsi="仿宋" w:eastAsia="仿宋" w:cs="仿宋"/>
          <w:sz w:val="32"/>
          <w:szCs w:val="32"/>
          <w:lang w:eastAsia="zh-Hans"/>
        </w:rPr>
        <w:t>应先删除所有的</w:t>
      </w:r>
      <w:r>
        <w:rPr>
          <w:rFonts w:hint="eastAsia" w:ascii="仿宋" w:hAnsi="仿宋" w:eastAsia="仿宋" w:cs="仿宋"/>
          <w:sz w:val="32"/>
          <w:szCs w:val="32"/>
        </w:rPr>
        <w:t>普通账户，且主办账户不得处于申请变更状态。</w:t>
      </w:r>
    </w:p>
    <w:p>
      <w:pPr>
        <w:numPr>
          <w:ilvl w:val="0"/>
          <w:numId w:val="5"/>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eastAsia="zh-Hans"/>
        </w:rPr>
        <w:t>主办账户删除后，即</w:t>
      </w:r>
      <w:r>
        <w:rPr>
          <w:rFonts w:hint="eastAsia" w:ascii="仿宋" w:hAnsi="仿宋" w:eastAsia="仿宋" w:cs="仿宋"/>
          <w:sz w:val="32"/>
          <w:szCs w:val="32"/>
        </w:rPr>
        <w:t>关闭</w:t>
      </w:r>
      <w:r>
        <w:rPr>
          <w:rFonts w:hint="eastAsia" w:ascii="仿宋" w:hAnsi="仿宋" w:eastAsia="仿宋" w:cs="仿宋"/>
          <w:sz w:val="32"/>
          <w:szCs w:val="32"/>
          <w:lang w:eastAsia="zh-Hans"/>
        </w:rPr>
        <w:t>该间接参与者的票据账户</w:t>
      </w:r>
      <w:r>
        <w:rPr>
          <w:rFonts w:hint="eastAsia" w:ascii="仿宋" w:hAnsi="仿宋" w:eastAsia="仿宋" w:cs="仿宋"/>
          <w:sz w:val="32"/>
          <w:szCs w:val="32"/>
        </w:rPr>
        <w:t>主动管理</w:t>
      </w:r>
      <w:r>
        <w:rPr>
          <w:rFonts w:hint="eastAsia" w:ascii="仿宋" w:hAnsi="仿宋" w:eastAsia="仿宋" w:cs="仿宋"/>
          <w:sz w:val="32"/>
          <w:szCs w:val="32"/>
          <w:lang w:eastAsia="zh-Hans"/>
        </w:rPr>
        <w:t>功能</w:t>
      </w:r>
      <w:r>
        <w:rPr>
          <w:rFonts w:hint="eastAsia" w:ascii="仿宋" w:hAnsi="仿宋" w:eastAsia="仿宋" w:cs="仿宋"/>
          <w:sz w:val="32"/>
          <w:szCs w:val="32"/>
        </w:rPr>
        <w:t>，并清空权限清单。</w:t>
      </w:r>
    </w:p>
    <w:p>
      <w:pPr>
        <w:numPr>
          <w:ilvl w:val="0"/>
          <w:numId w:val="5"/>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eastAsia="zh-Hans"/>
        </w:rPr>
        <w:t>账户删除立即生效。</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w:t>
      </w:r>
      <w:r>
        <w:rPr>
          <w:rFonts w:hint="eastAsia" w:ascii="仿宋" w:hAnsi="仿宋" w:eastAsia="仿宋"/>
          <w:b/>
          <w:sz w:val="32"/>
          <w:szCs w:val="32"/>
          <w:lang w:eastAsia="zh-Hans"/>
        </w:rPr>
        <w:t>业务</w:t>
      </w:r>
      <w:r>
        <w:rPr>
          <w:rFonts w:hint="eastAsia" w:ascii="仿宋" w:hAnsi="仿宋" w:eastAsia="仿宋"/>
          <w:b/>
          <w:sz w:val="32"/>
          <w:szCs w:val="32"/>
        </w:rPr>
        <w:t>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1.间接参与者通过主办机构，向票交所发送主动管理申请，删除普通账户</w:t>
      </w:r>
      <w:r>
        <w:rPr>
          <w:rFonts w:hint="eastAsia" w:ascii="仿宋" w:hAnsi="仿宋" w:eastAsia="仿宋" w:cs="仿宋"/>
          <w:sz w:val="32"/>
          <w:szCs w:val="32"/>
          <w:lang w:eastAsia="zh-Hans"/>
        </w:rPr>
        <w:t>或</w:t>
      </w:r>
      <w:r>
        <w:rPr>
          <w:rFonts w:hint="eastAsia" w:ascii="仿宋" w:hAnsi="仿宋" w:eastAsia="仿宋" w:cs="仿宋"/>
          <w:sz w:val="32"/>
          <w:szCs w:val="32"/>
        </w:rPr>
        <w:t>主办账户，提交的信息包括：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（1）登记机构信息：登记人、登记金融机构代码；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（2）业务信息：操作类型</w:t>
      </w:r>
      <w:r>
        <w:rPr>
          <w:rFonts w:hint="eastAsia" w:ascii="仿宋" w:hAnsi="仿宋" w:eastAsia="仿宋" w:cs="仿宋"/>
          <w:sz w:val="32"/>
          <w:szCs w:val="32"/>
          <w:lang w:eastAsia="zh-Hans"/>
        </w:rPr>
        <w:t>（</w:t>
      </w:r>
      <w:r>
        <w:rPr>
          <w:rFonts w:hint="eastAsia" w:ascii="仿宋" w:hAnsi="仿宋" w:eastAsia="仿宋" w:cs="仿宋"/>
          <w:sz w:val="32"/>
          <w:szCs w:val="32"/>
        </w:rPr>
        <w:t>“删除”</w:t>
      </w:r>
      <w:r>
        <w:rPr>
          <w:rFonts w:hint="eastAsia" w:ascii="仿宋" w:hAnsi="仿宋" w:eastAsia="仿宋" w:cs="仿宋"/>
          <w:sz w:val="32"/>
          <w:szCs w:val="32"/>
          <w:lang w:eastAsia="zh-Hans"/>
        </w:rPr>
        <w:t>）</w:t>
      </w:r>
      <w:r>
        <w:rPr>
          <w:rFonts w:hint="eastAsia" w:ascii="仿宋" w:hAnsi="仿宋" w:eastAsia="仿宋" w:cs="仿宋"/>
          <w:sz w:val="32"/>
          <w:szCs w:val="32"/>
        </w:rPr>
        <w:t>、账户类型、识别类型；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（3）客户信息：名称、统一社会信用代码；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（4）主动管理账户信息：参与者服务机构代码、账户名称、账号、开户行机构参与者代码。</w:t>
      </w:r>
    </w:p>
    <w:p>
      <w:pPr>
        <w:spacing w:line="590" w:lineRule="exact"/>
        <w:ind w:firstLine="640" w:firstLineChars="200"/>
        <w:rPr>
          <w:rFonts w:ascii="仿宋" w:hAnsi="仿宋" w:eastAsia="仿宋"/>
          <w:b/>
          <w:sz w:val="32"/>
          <w:szCs w:val="32"/>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向</w:t>
      </w:r>
      <w:r>
        <w:rPr>
          <w:rFonts w:hint="eastAsia" w:ascii="仿宋" w:hAnsi="仿宋" w:eastAsia="仿宋" w:cs="仿宋"/>
          <w:bCs/>
          <w:color w:val="000000"/>
          <w:sz w:val="32"/>
          <w:szCs w:val="32"/>
          <w:lang w:bidi="ar"/>
        </w:rPr>
        <w:t>主办账户及普通账户</w:t>
      </w:r>
      <w:r>
        <w:rPr>
          <w:rFonts w:hint="eastAsia" w:ascii="仿宋" w:hAnsi="仿宋" w:eastAsia="仿宋" w:cs="仿宋"/>
          <w:bCs/>
          <w:color w:val="000000"/>
          <w:sz w:val="32"/>
          <w:szCs w:val="32"/>
          <w:lang w:eastAsia="zh-Hans" w:bidi="ar"/>
        </w:rPr>
        <w:t>所属的参与者服务</w:t>
      </w:r>
      <w:r>
        <w:rPr>
          <w:rFonts w:hint="eastAsia" w:ascii="仿宋" w:hAnsi="仿宋" w:eastAsia="仿宋" w:cs="仿宋"/>
          <w:bCs/>
          <w:color w:val="000000"/>
          <w:sz w:val="32"/>
          <w:szCs w:val="32"/>
          <w:lang w:bidi="ar"/>
        </w:rPr>
        <w:t>机构反馈处理结果。</w:t>
      </w:r>
      <w:r>
        <w:rPr>
          <w:rFonts w:hint="eastAsia" w:ascii="仿宋" w:hAnsi="仿宋" w:eastAsia="仿宋" w:cs="仿宋"/>
          <w:bCs/>
          <w:color w:val="000000"/>
          <w:sz w:val="32"/>
          <w:szCs w:val="32"/>
          <w:lang w:eastAsia="zh-Hans" w:bidi="ar"/>
        </w:rPr>
        <w:t>参与者服务机构收到</w:t>
      </w:r>
      <w:r>
        <w:rPr>
          <w:rFonts w:hint="eastAsia" w:ascii="仿宋" w:hAnsi="仿宋" w:eastAsia="仿宋" w:cs="仿宋"/>
          <w:bCs/>
          <w:color w:val="000000"/>
          <w:sz w:val="32"/>
          <w:szCs w:val="32"/>
          <w:lang w:bidi="ar"/>
        </w:rPr>
        <w:t>票交所反馈的处理结果</w:t>
      </w:r>
      <w:r>
        <w:rPr>
          <w:rFonts w:hint="eastAsia" w:ascii="仿宋" w:hAnsi="仿宋" w:eastAsia="仿宋" w:cs="仿宋"/>
          <w:bCs/>
          <w:color w:val="000000"/>
          <w:sz w:val="32"/>
          <w:szCs w:val="32"/>
          <w:lang w:eastAsia="zh-Hans" w:bidi="ar"/>
        </w:rPr>
        <w:t>后</w:t>
      </w:r>
      <w:r>
        <w:rPr>
          <w:rFonts w:hint="eastAsia" w:ascii="仿宋" w:hAnsi="仿宋" w:eastAsia="仿宋" w:cs="仿宋"/>
          <w:bCs/>
          <w:color w:val="000000"/>
          <w:sz w:val="32"/>
          <w:szCs w:val="32"/>
          <w:lang w:bidi="ar"/>
        </w:rPr>
        <w:t>通知</w:t>
      </w:r>
      <w:r>
        <w:rPr>
          <w:rFonts w:hint="eastAsia" w:ascii="仿宋" w:hAnsi="仿宋" w:eastAsia="仿宋" w:cs="仿宋"/>
          <w:bCs/>
          <w:color w:val="000000"/>
          <w:sz w:val="32"/>
          <w:szCs w:val="32"/>
          <w:lang w:eastAsia="zh-Hans" w:bidi="ar"/>
        </w:rPr>
        <w:t>该参与者</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sz w:val="32"/>
          <w:szCs w:val="32"/>
        </w:rPr>
      </w:pPr>
    </w:p>
    <w:p>
      <w:pPr>
        <w:pStyle w:val="3"/>
        <w:spacing w:before="0" w:after="0" w:line="590" w:lineRule="exact"/>
        <w:ind w:firstLine="643" w:firstLineChars="200"/>
        <w:rPr>
          <w:rFonts w:ascii="仿宋" w:hAnsi="仿宋" w:eastAsia="仿宋" w:cs="仿宋"/>
        </w:rPr>
      </w:pPr>
      <w:bookmarkStart w:id="206" w:name="_Toc25787"/>
      <w:bookmarkStart w:id="207" w:name="_Toc28475"/>
      <w:bookmarkStart w:id="208" w:name="_Toc13550"/>
      <w:bookmarkStart w:id="209" w:name="_Toc17127"/>
      <w:bookmarkStart w:id="210" w:name="_Toc9777"/>
      <w:bookmarkStart w:id="211" w:name="_Toc15750"/>
      <w:bookmarkStart w:id="212" w:name="_Toc27245"/>
      <w:bookmarkStart w:id="213" w:name="_Toc9305"/>
      <w:bookmarkStart w:id="214" w:name="_Toc7323"/>
      <w:bookmarkStart w:id="215" w:name="_Toc19202"/>
      <w:bookmarkStart w:id="216" w:name="_Toc27651"/>
      <w:bookmarkStart w:id="217" w:name="_Toc1306782229"/>
      <w:bookmarkStart w:id="218" w:name="_Toc28286"/>
      <w:bookmarkStart w:id="219" w:name="_Toc14846"/>
      <w:bookmarkStart w:id="220" w:name="_Toc7522"/>
      <w:bookmarkStart w:id="221" w:name="_Toc13857"/>
      <w:bookmarkStart w:id="222" w:name="_Toc14609"/>
      <w:bookmarkStart w:id="223" w:name="_Toc26841"/>
      <w:bookmarkStart w:id="224" w:name="_Toc18361"/>
      <w:bookmarkStart w:id="225" w:name="_Toc12478"/>
      <w:bookmarkStart w:id="226" w:name="_Toc23303"/>
      <w:bookmarkStart w:id="227" w:name="_Toc21476"/>
      <w:bookmarkStart w:id="228" w:name="_Toc19633"/>
      <w:bookmarkStart w:id="229" w:name="_Toc20630"/>
      <w:r>
        <w:rPr>
          <w:rFonts w:hint="eastAsia" w:ascii="仿宋" w:hAnsi="仿宋" w:eastAsia="仿宋" w:cs="仿宋"/>
        </w:rPr>
        <w:t>1.4 参与者服务机构</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参与者服务机构申请加入票交所，为间接参与者提供票据业务相关服务。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金融机构作为参与者服务机构为间接参与者提供服务的，其</w:t>
      </w:r>
      <w:r>
        <w:rPr>
          <w:rFonts w:hint="eastAsia" w:ascii="仿宋" w:hAnsi="仿宋" w:eastAsia="仿宋" w:cs="仿宋"/>
          <w:sz w:val="32"/>
          <w:szCs w:val="32"/>
          <w:lang w:eastAsia="zh-CN"/>
        </w:rPr>
        <w:t>加入</w:t>
      </w:r>
      <w:r>
        <w:rPr>
          <w:rFonts w:hint="eastAsia" w:ascii="仿宋" w:hAnsi="仿宋" w:eastAsia="仿宋" w:cs="仿宋"/>
          <w:sz w:val="32"/>
          <w:szCs w:val="32"/>
        </w:rPr>
        <w:t>、变更、退出参照本指南第“1.2直接参与者”章节办理。</w:t>
      </w:r>
    </w:p>
    <w:p>
      <w:pPr>
        <w:spacing w:line="590" w:lineRule="exact"/>
        <w:ind w:firstLine="640" w:firstLineChars="200"/>
        <w:rPr>
          <w:rFonts w:ascii="仿宋" w:hAnsi="仿宋" w:eastAsia="仿宋" w:cs="仿宋"/>
          <w:sz w:val="32"/>
          <w:szCs w:val="32"/>
        </w:rPr>
      </w:pPr>
    </w:p>
    <w:p>
      <w:pPr>
        <w:pStyle w:val="4"/>
        <w:keepNext w:val="0"/>
        <w:keepLines w:val="0"/>
        <w:tabs>
          <w:tab w:val="left" w:pos="432"/>
        </w:tabs>
        <w:spacing w:before="0" w:after="0" w:line="590" w:lineRule="exact"/>
        <w:ind w:firstLine="643" w:firstLineChars="200"/>
        <w:rPr>
          <w:rFonts w:ascii="仿宋" w:hAnsi="仿宋" w:eastAsia="仿宋" w:cs="仿宋"/>
        </w:rPr>
      </w:pPr>
      <w:bookmarkStart w:id="230" w:name="_Toc9065"/>
      <w:bookmarkStart w:id="231" w:name="_Toc22641"/>
      <w:bookmarkStart w:id="232" w:name="_Toc22066"/>
      <w:bookmarkStart w:id="233" w:name="_Toc6548"/>
      <w:bookmarkStart w:id="234" w:name="_Toc3521"/>
      <w:bookmarkStart w:id="235" w:name="_Toc18190"/>
      <w:bookmarkStart w:id="236" w:name="_Toc26983"/>
      <w:bookmarkStart w:id="237" w:name="_Toc13788"/>
      <w:bookmarkStart w:id="238" w:name="_Toc18464"/>
      <w:bookmarkStart w:id="239" w:name="_Toc18907"/>
      <w:bookmarkStart w:id="240" w:name="_Toc14864"/>
      <w:bookmarkStart w:id="241" w:name="_Toc16824"/>
      <w:bookmarkStart w:id="242" w:name="_Toc27607"/>
      <w:bookmarkStart w:id="243" w:name="_Toc16306"/>
      <w:bookmarkStart w:id="244" w:name="_Toc1583093249"/>
      <w:bookmarkStart w:id="245" w:name="_Toc6237"/>
      <w:bookmarkStart w:id="246" w:name="_Toc28873"/>
      <w:bookmarkStart w:id="247" w:name="_Toc25599"/>
      <w:r>
        <w:rPr>
          <w:rFonts w:hint="eastAsia" w:ascii="仿宋" w:hAnsi="仿宋" w:eastAsia="仿宋" w:cs="仿宋"/>
        </w:rPr>
        <w:t>1.4.1供应链平台</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bookmarkStart w:id="248" w:name="_Toc13838"/>
      <w:r>
        <w:rPr>
          <w:rFonts w:hint="eastAsia" w:ascii="仿宋" w:hAnsi="仿宋" w:eastAsia="仿宋" w:cs="仿宋"/>
          <w:sz w:val="32"/>
          <w:szCs w:val="32"/>
        </w:rPr>
        <w:t>1.4.1.1准入</w:t>
      </w:r>
      <w:bookmarkEnd w:id="248"/>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供应链平台加入票交所，作为参与者服务机构为业务参与者提供服务，</w:t>
      </w:r>
      <w:r>
        <w:rPr>
          <w:rFonts w:ascii="仿宋" w:hAnsi="仿宋" w:eastAsia="仿宋" w:cs="仿宋"/>
          <w:sz w:val="32"/>
          <w:szCs w:val="32"/>
        </w:rPr>
        <w:t>参照《上海票据交易所供应链票据平台接入规则（试行）》</w:t>
      </w:r>
      <w:r>
        <w:rPr>
          <w:rFonts w:hint="eastAsia" w:ascii="仿宋" w:hAnsi="仿宋" w:eastAsia="仿宋" w:cs="仿宋"/>
          <w:sz w:val="32"/>
          <w:szCs w:val="32"/>
        </w:rPr>
        <w:t>执行</w:t>
      </w:r>
      <w:r>
        <w:rPr>
          <w:rFonts w:ascii="仿宋" w:hAnsi="仿宋" w:eastAsia="仿宋" w:cs="仿宋"/>
          <w:sz w:val="32"/>
          <w:szCs w:val="32"/>
        </w:rPr>
        <w:t>。</w:t>
      </w:r>
      <w:r>
        <w:rPr>
          <w:rFonts w:hint="eastAsia" w:ascii="仿宋" w:hAnsi="仿宋" w:eastAsia="仿宋" w:cs="仿宋"/>
          <w:sz w:val="32"/>
          <w:szCs w:val="32"/>
        </w:rPr>
        <w:t>其资质条件、申请材料、申请办理流程如下：</w:t>
      </w:r>
    </w:p>
    <w:p>
      <w:pPr>
        <w:spacing w:line="590" w:lineRule="exact"/>
        <w:ind w:firstLine="640" w:firstLineChars="200"/>
        <w:rPr>
          <w:rFonts w:ascii="仿宋" w:hAnsi="仿宋" w:eastAsia="仿宋" w:cs="仿宋"/>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[准入条件]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1.为在中国境内合法注册经营的企业法人，注册资本不低于3亿元人民币，注册时间不少于3年；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2.具有可持续经营的能力，股东背景为大型供应链核心企业或信用评级为AAA的金融机构，财务状况稳健，最近1个会计年度实现盈利；</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具有开展供应链金融业务的核心技术以及覆盖供应链全流程的系统功能，能够依法合规采集、传输供应链企业经营、贸易、融资等数据信息，能够通过有效手段识别、核验企业身份、业务意愿、交易关系等相关信息的真实性；</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4.具有健全的系统安全保障机制，通过国家信息系统安全等级保护第三级或以上备案；</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5.具有良好的运营和服务保障能力，有专业化的技术、业务运营团队，高级管理人员包含熟悉经济金融法律法规、具有金融从业经验的人员；</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6.具有良好的客群资源和业务基础，供应链金融相关业务规模超过1000亿元人民币；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7.具有良好的风险管理体系，能够通过有效手段监测、识别、评估、控制供应链金融风险，具有纠纷和风险处理机制；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8.企业法人以及法定代表人、实际控制人、控股股东最近两年无影响公司正常运营的重大诉讼和重大违法、违规行为；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9.票交所规定的其他条件。</w:t>
      </w:r>
    </w:p>
    <w:p>
      <w:pPr>
        <w:spacing w:line="590" w:lineRule="exact"/>
        <w:ind w:firstLine="640" w:firstLineChars="200"/>
        <w:rPr>
          <w:rFonts w:ascii="仿宋" w:hAnsi="仿宋" w:eastAsia="仿宋" w:cs="仿宋"/>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spacing w:line="590" w:lineRule="exact"/>
        <w:ind w:firstLine="640" w:firstLineChars="200"/>
        <w:rPr>
          <w:rFonts w:hint="eastAsia" w:ascii="仿宋" w:hAnsi="仿宋" w:eastAsia="仿宋_GB2312" w:cs="仿宋"/>
          <w:sz w:val="32"/>
          <w:szCs w:val="32"/>
        </w:rPr>
      </w:pPr>
      <w:r>
        <w:rPr>
          <w:rFonts w:hint="eastAsia" w:ascii="仿宋_GB2312" w:eastAsia="仿宋_GB2312"/>
          <w:color w:val="000000"/>
          <w:sz w:val="32"/>
          <w:szCs w:val="32"/>
        </w:rPr>
        <w:t>符合条件的供应链平台申请接入票据业务系统，可向票交所提交如下申请材料：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①《上海票据交易所参与者</w:t>
      </w:r>
      <w:r>
        <w:rPr>
          <w:rFonts w:hint="eastAsia" w:ascii="仿宋" w:hAnsi="仿宋" w:eastAsia="仿宋" w:cs="仿宋"/>
          <w:sz w:val="32"/>
          <w:szCs w:val="32"/>
          <w:lang w:eastAsia="zh-CN"/>
        </w:rPr>
        <w:t>加入</w:t>
      </w:r>
      <w:r>
        <w:rPr>
          <w:rFonts w:hint="eastAsia" w:ascii="仿宋" w:hAnsi="仿宋" w:eastAsia="仿宋" w:cs="仿宋"/>
          <w:sz w:val="32"/>
          <w:szCs w:val="32"/>
        </w:rPr>
        <w:t>申请表》（附件3）；</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②营业执照、金融许可证（如有）</w:t>
      </w:r>
      <w:r>
        <w:rPr>
          <w:rFonts w:hint="eastAsia" w:ascii="仿宋" w:hAnsi="仿宋" w:eastAsia="仿宋" w:cs="仿宋"/>
          <w:sz w:val="32"/>
          <w:szCs w:val="32"/>
          <w:lang w:val="en-US" w:eastAsia="zh-CN"/>
        </w:rPr>
        <w:t>等证件的</w:t>
      </w:r>
      <w:r>
        <w:rPr>
          <w:rFonts w:hint="eastAsia" w:ascii="仿宋" w:hAnsi="仿宋" w:eastAsia="仿宋" w:cs="仿宋"/>
          <w:sz w:val="32"/>
          <w:szCs w:val="32"/>
        </w:rPr>
        <w:t>复印件；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③供应链平台基本情况，包括但不限于注册资本、成立时间、股东背景、股权结构、财务状况等；</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④系统功能，包括但不限于业务流程、信息集成情况（如获取渠道、获取内容、传输方式、运用情况等），以及对企业身份、业务意愿、交易关系等相关信息真实性的识别和核验措施等；</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⑤国家信息系统安全等级保护备案证明（第三级或以上）；</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⑥业务开展情况，包括但不限于服务企业数量、业务规模、与其开展业务合作的金融机构情况等；</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⑦相关人员情况，包括相关高级管理人员、中层管理人员以及业务、技术等专业人员情况；</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⑧风险评估和风险管控机制，如内控制度、监测预警机制、信用评估机制、纠纷处理机制、应急处理机制等；</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⑨企业法人、法定代表人、实际控制人、控股股东最近2年无影响公司正常运营的重大诉讼和重大违法违规行为的承诺函；</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⑩供应链票据业务发展规划和具体实施方案,包括但不限于供应链票据推广计划、客户拓展方案、预计业务规模，以及相应业务流程、技术准备、信息匹配的实现方式、风险控制机制等；</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⑪其他可证明供应链平台资质的相关材料。</w:t>
      </w:r>
    </w:p>
    <w:p>
      <w:pPr>
        <w:spacing w:line="590" w:lineRule="exact"/>
        <w:ind w:firstLine="640" w:firstLineChars="200"/>
        <w:rPr>
          <w:rFonts w:ascii="仿宋" w:hAnsi="仿宋" w:eastAsia="仿宋" w:cs="仿宋"/>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1.上述申请材料应在材料正面或落款处加盖单位公章，材料为多页的，还应在骑缝处加盖单位公章，寄送至票交所。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上海票据交易所：上海市黄浦区半淞园路377号A区，上海票据交易所交易部，021-23139999。</w:t>
      </w:r>
    </w:p>
    <w:p>
      <w:pPr>
        <w:spacing w:line="590" w:lineRule="exact"/>
        <w:ind w:firstLine="640" w:firstLineChars="200"/>
        <w:rPr>
          <w:rFonts w:ascii="仿宋_GB2312" w:eastAsia="仿宋_GB2312"/>
          <w:color w:val="000000"/>
          <w:sz w:val="32"/>
          <w:szCs w:val="32"/>
        </w:rPr>
      </w:pPr>
      <w:r>
        <w:rPr>
          <w:rFonts w:hint="eastAsia" w:ascii="仿宋" w:hAnsi="仿宋" w:eastAsia="仿宋" w:cs="仿宋"/>
          <w:sz w:val="32"/>
          <w:szCs w:val="32"/>
        </w:rPr>
        <w:t>2.</w:t>
      </w:r>
      <w:r>
        <w:rPr>
          <w:rFonts w:hint="eastAsia" w:ascii="仿宋_GB2312" w:eastAsia="仿宋_GB2312"/>
          <w:color w:val="000000"/>
          <w:sz w:val="32"/>
          <w:szCs w:val="32"/>
        </w:rPr>
        <w:t>票交所于收到材料的3个工作日内反馈受理情况。材料齐备的，票交所于15个工作日内反馈受理意见。</w:t>
      </w:r>
    </w:p>
    <w:p>
      <w:pPr>
        <w:spacing w:line="590" w:lineRule="exact"/>
        <w:ind w:firstLine="640" w:firstLineChars="200"/>
        <w:rPr>
          <w:rFonts w:ascii="仿宋_GB2312"/>
          <w:color w:val="000000"/>
          <w:sz w:val="32"/>
        </w:rPr>
      </w:pPr>
      <w:r>
        <w:rPr>
          <w:rFonts w:hint="eastAsia" w:ascii="仿宋" w:hAnsi="仿宋" w:eastAsia="仿宋" w:cs="仿宋"/>
          <w:sz w:val="32"/>
          <w:szCs w:val="32"/>
        </w:rPr>
        <w:t>3.票交所</w:t>
      </w:r>
      <w:bookmarkStart w:id="249" w:name="_Toc71809608"/>
      <w:bookmarkEnd w:id="249"/>
      <w:bookmarkStart w:id="250" w:name="_Toc71789252"/>
      <w:bookmarkEnd w:id="250"/>
      <w:bookmarkStart w:id="251" w:name="_Toc71662901"/>
      <w:bookmarkEnd w:id="251"/>
      <w:bookmarkStart w:id="252" w:name="_Toc71809711"/>
      <w:bookmarkEnd w:id="252"/>
      <w:bookmarkStart w:id="253" w:name="_Toc71797193"/>
      <w:bookmarkEnd w:id="253"/>
      <w:bookmarkStart w:id="254" w:name="_Toc71788686"/>
      <w:bookmarkEnd w:id="254"/>
      <w:bookmarkStart w:id="255" w:name="_Toc71656755"/>
      <w:bookmarkEnd w:id="255"/>
      <w:bookmarkStart w:id="256" w:name="_Toc71797358"/>
      <w:bookmarkEnd w:id="256"/>
      <w:bookmarkStart w:id="257" w:name="_Toc75530869"/>
      <w:bookmarkEnd w:id="257"/>
      <w:r>
        <w:rPr>
          <w:rFonts w:hint="eastAsia" w:ascii="仿宋" w:hAnsi="仿宋" w:eastAsia="仿宋" w:cs="仿宋"/>
          <w:sz w:val="32"/>
          <w:szCs w:val="32"/>
        </w:rPr>
        <w:t>与</w:t>
      </w:r>
      <w:bookmarkStart w:id="258" w:name="_Toc71662902"/>
      <w:bookmarkEnd w:id="258"/>
      <w:bookmarkStart w:id="259" w:name="_Toc71788687"/>
      <w:bookmarkEnd w:id="259"/>
      <w:bookmarkStart w:id="260" w:name="_Toc71809712"/>
      <w:bookmarkEnd w:id="260"/>
      <w:bookmarkStart w:id="261" w:name="_Toc71797194"/>
      <w:bookmarkEnd w:id="261"/>
      <w:bookmarkStart w:id="262" w:name="_Toc71809609"/>
      <w:bookmarkEnd w:id="262"/>
      <w:bookmarkStart w:id="263" w:name="_Toc71797359"/>
      <w:bookmarkEnd w:id="263"/>
      <w:bookmarkStart w:id="264" w:name="_Toc71656756"/>
      <w:bookmarkEnd w:id="264"/>
      <w:bookmarkStart w:id="265" w:name="_Toc71789253"/>
      <w:bookmarkEnd w:id="265"/>
      <w:bookmarkStart w:id="266" w:name="_Toc75530870"/>
      <w:bookmarkEnd w:id="266"/>
      <w:r>
        <w:rPr>
          <w:rFonts w:hint="eastAsia" w:ascii="仿宋_GB2312" w:eastAsia="仿宋_GB2312"/>
          <w:color w:val="000000"/>
          <w:sz w:val="32"/>
          <w:szCs w:val="32"/>
        </w:rPr>
        <w:t>受理通过的供应链平台签署合作协议。</w:t>
      </w:r>
    </w:p>
    <w:p>
      <w:pPr>
        <w:spacing w:line="590" w:lineRule="exact"/>
        <w:ind w:firstLine="640" w:firstLineChars="200"/>
        <w:rPr>
          <w:rFonts w:ascii="仿宋" w:hAnsi="仿宋" w:eastAsia="仿宋" w:cs="仿宋"/>
          <w:sz w:val="32"/>
          <w:szCs w:val="32"/>
        </w:rPr>
      </w:pPr>
      <w:r>
        <w:rPr>
          <w:rFonts w:hint="eastAsia" w:ascii="仿宋_GB2312" w:eastAsia="仿宋_GB2312"/>
          <w:color w:val="000000"/>
          <w:sz w:val="32"/>
          <w:szCs w:val="32"/>
        </w:rPr>
        <w:t>4.供应链平台应在收到票交所同意接入书面通知的6个月内，按《上海票据交易所技术接入指引》办理网络及系统对接工作，并提交《供应链票据业务上线申报表》</w:t>
      </w:r>
      <w:r>
        <w:rPr>
          <w:rFonts w:hint="eastAsia" w:ascii="仿宋" w:hAnsi="仿宋" w:eastAsia="仿宋" w:cs="仿宋"/>
          <w:sz w:val="32"/>
          <w:szCs w:val="32"/>
        </w:rPr>
        <w:t>（附件10）。</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未在上述期限提交的，供应链平台需按照相关规则重新办理接入申请。</w:t>
      </w:r>
    </w:p>
    <w:p>
      <w:pPr>
        <w:spacing w:line="59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5.票交所为供应链平台进行信息创建、参数配置等操作。</w:t>
      </w:r>
    </w:p>
    <w:p>
      <w:pPr>
        <w:spacing w:line="590" w:lineRule="exact"/>
        <w:ind w:firstLine="640" w:firstLineChars="200"/>
        <w:rPr>
          <w:rFonts w:ascii="仿宋_GB2312" w:eastAsia="仿宋_GB2312"/>
          <w:color w:val="000000"/>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bookmarkStart w:id="267" w:name="_Toc32635"/>
      <w:r>
        <w:rPr>
          <w:rFonts w:hint="eastAsia" w:ascii="仿宋" w:hAnsi="仿宋" w:eastAsia="仿宋" w:cs="仿宋"/>
          <w:sz w:val="32"/>
          <w:szCs w:val="32"/>
        </w:rPr>
        <w:t>1.4.1.2变更</w:t>
      </w:r>
      <w:bookmarkEnd w:id="267"/>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[变更条件]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已接入票据业务系统的供应链平台，发生信息变更或其他可能影响供应链票据业务运行的变更情形的，应及时向票交所提出申请：</w:t>
      </w:r>
    </w:p>
    <w:p>
      <w:pPr>
        <w:numPr>
          <w:ilvl w:val="0"/>
          <w:numId w:val="6"/>
        </w:numPr>
        <w:spacing w:line="59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变更供应链平台名称;</w:t>
      </w:r>
    </w:p>
    <w:p>
      <w:pPr>
        <w:numPr>
          <w:ilvl w:val="0"/>
          <w:numId w:val="6"/>
        </w:numPr>
        <w:spacing w:line="59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变更其运营的平台系统名称</w:t>
      </w:r>
      <w:r>
        <w:rPr>
          <w:rFonts w:hint="eastAsia" w:ascii="仿宋_GB2312" w:hAnsi="仿宋_GB2312" w:eastAsia="仿宋_GB2312" w:cs="仿宋_GB2312"/>
          <w:sz w:val="30"/>
          <w:szCs w:val="30"/>
          <w:lang w:eastAsia="zh-CN"/>
        </w:rPr>
        <w:t>。</w:t>
      </w:r>
    </w:p>
    <w:p>
      <w:pPr>
        <w:spacing w:line="590" w:lineRule="exact"/>
        <w:ind w:firstLine="643" w:firstLineChars="200"/>
        <w:rPr>
          <w:rFonts w:ascii="仿宋" w:hAnsi="仿宋" w:eastAsia="仿宋" w:cs="仿宋"/>
          <w:b/>
          <w:bCs/>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spacing w:line="590" w:lineRule="exact"/>
        <w:ind w:firstLine="640" w:firstLineChars="200"/>
        <w:rPr>
          <w:rFonts w:ascii="仿宋_GB2312" w:eastAsia="仿宋_GB2312"/>
          <w:color w:val="000000"/>
          <w:sz w:val="32"/>
          <w:szCs w:val="32"/>
        </w:rPr>
      </w:pPr>
      <w:r>
        <w:rPr>
          <w:rFonts w:hint="eastAsia" w:ascii="仿宋" w:hAnsi="仿宋" w:eastAsia="仿宋" w:cs="仿宋"/>
          <w:color w:val="000000"/>
          <w:sz w:val="32"/>
          <w:szCs w:val="32"/>
        </w:rPr>
        <w:t>①</w:t>
      </w:r>
      <w:r>
        <w:rPr>
          <w:rFonts w:hint="eastAsia" w:ascii="仿宋_GB2312" w:eastAsia="仿宋_GB2312"/>
          <w:color w:val="000000"/>
          <w:sz w:val="32"/>
          <w:szCs w:val="32"/>
        </w:rPr>
        <w:t>《上海票据交易所参与者变更申请表》</w:t>
      </w:r>
      <w:r>
        <w:rPr>
          <w:rFonts w:hint="eastAsia" w:ascii="仿宋" w:hAnsi="仿宋" w:eastAsia="仿宋" w:cs="仿宋"/>
          <w:sz w:val="32"/>
          <w:szCs w:val="32"/>
        </w:rPr>
        <w:t>（附件8）</w:t>
      </w:r>
      <w:r>
        <w:rPr>
          <w:rFonts w:hint="eastAsia" w:ascii="仿宋_GB2312" w:eastAsia="仿宋_GB2312"/>
          <w:color w:val="000000"/>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②信息变更相关证明材料；</w:t>
      </w:r>
    </w:p>
    <w:p>
      <w:pPr>
        <w:spacing w:line="590" w:lineRule="exact"/>
        <w:ind w:firstLine="640" w:firstLineChars="200"/>
        <w:rPr>
          <w:rFonts w:ascii="仿宋_GB2312" w:eastAsia="仿宋_GB2312"/>
          <w:color w:val="000000"/>
          <w:sz w:val="32"/>
          <w:szCs w:val="32"/>
        </w:rPr>
      </w:pPr>
      <w:r>
        <w:rPr>
          <w:rFonts w:hint="eastAsia" w:ascii="仿宋" w:hAnsi="仿宋" w:eastAsia="仿宋" w:cs="仿宋"/>
          <w:color w:val="000000"/>
          <w:sz w:val="32"/>
          <w:szCs w:val="32"/>
        </w:rPr>
        <w:t>③</w:t>
      </w:r>
      <w:r>
        <w:rPr>
          <w:rFonts w:hint="eastAsia" w:ascii="仿宋_GB2312" w:eastAsia="仿宋_GB2312"/>
          <w:color w:val="000000"/>
          <w:sz w:val="32"/>
          <w:szCs w:val="32"/>
        </w:rPr>
        <w:t>票交所要求提交的其他材料。</w:t>
      </w:r>
    </w:p>
    <w:p>
      <w:pPr>
        <w:spacing w:line="590" w:lineRule="exact"/>
        <w:ind w:firstLine="643" w:firstLineChars="200"/>
        <w:rPr>
          <w:rFonts w:ascii="仿宋" w:hAnsi="仿宋" w:eastAsia="仿宋" w:cs="仿宋"/>
          <w:b/>
          <w:bCs/>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1.上述申请材料应加盖单位公章，寄送至票交所。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上海票据交易所：上海市黄浦区半淞园路377号A区，上海票据交易所交易部，021-23139999。</w:t>
      </w:r>
    </w:p>
    <w:p>
      <w:pPr>
        <w:spacing w:line="59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2.票交所于收到相应材料的3个工作日内反馈受理情况。</w:t>
      </w:r>
    </w:p>
    <w:p>
      <w:pPr>
        <w:spacing w:line="590" w:lineRule="exact"/>
        <w:ind w:firstLine="640" w:firstLineChars="200"/>
        <w:rPr>
          <w:rFonts w:ascii="仿宋_GB2312" w:eastAsia="仿宋_GB2312"/>
          <w:color w:val="000000"/>
          <w:sz w:val="32"/>
          <w:szCs w:val="32"/>
        </w:rPr>
      </w:pPr>
    </w:p>
    <w:p>
      <w:pPr>
        <w:pStyle w:val="5"/>
        <w:keepNext w:val="0"/>
        <w:keepLines w:val="0"/>
        <w:numPr>
          <w:ilvl w:val="3"/>
          <w:numId w:val="0"/>
        </w:numPr>
        <w:tabs>
          <w:tab w:val="clear" w:pos="1224"/>
        </w:tabs>
        <w:spacing w:before="0" w:after="0" w:line="590" w:lineRule="exact"/>
        <w:ind w:firstLine="643" w:firstLineChars="200"/>
        <w:rPr>
          <w:rFonts w:ascii="仿宋" w:hAnsi="仿宋" w:eastAsia="仿宋" w:cs="仿宋"/>
          <w:sz w:val="32"/>
          <w:szCs w:val="32"/>
        </w:rPr>
      </w:pPr>
      <w:bookmarkStart w:id="268" w:name="_Toc1238"/>
      <w:r>
        <w:rPr>
          <w:rFonts w:hint="eastAsia" w:ascii="仿宋" w:hAnsi="仿宋" w:eastAsia="仿宋" w:cs="仿宋"/>
          <w:sz w:val="32"/>
          <w:szCs w:val="32"/>
        </w:rPr>
        <w:t>1.4.1.3退出</w:t>
      </w:r>
      <w:bookmarkEnd w:id="268"/>
    </w:p>
    <w:p>
      <w:pPr>
        <w:numPr>
          <w:ilvl w:val="255"/>
          <w:numId w:val="0"/>
        </w:num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[退出条件]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供应链平台拟终止提供供应链票据服务，或因不可抗力以及其他原因必须终止提供供应链票据服务的，应及时办理退出手续。</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办理退出手续期间，供应链平台可继续处理存量业务直至业务完结，但不得新增业务。</w:t>
      </w:r>
    </w:p>
    <w:p>
      <w:pPr>
        <w:spacing w:line="590" w:lineRule="exact"/>
        <w:ind w:firstLine="643" w:firstLineChars="200"/>
        <w:rPr>
          <w:rFonts w:ascii="仿宋" w:hAnsi="仿宋" w:eastAsia="仿宋" w:cs="仿宋"/>
          <w:b/>
          <w:bCs/>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[申请材料清单]</w:t>
      </w:r>
    </w:p>
    <w:p>
      <w:pPr>
        <w:spacing w:line="590" w:lineRule="exact"/>
        <w:ind w:firstLine="640" w:firstLineChars="200"/>
        <w:rPr>
          <w:rFonts w:hint="eastAsia" w:ascii="仿宋" w:hAnsi="仿宋" w:eastAsia="仿宋_GB2312" w:cs="仿宋"/>
          <w:sz w:val="32"/>
          <w:szCs w:val="32"/>
        </w:rPr>
      </w:pPr>
      <w:r>
        <w:rPr>
          <w:rFonts w:hint="eastAsia" w:ascii="仿宋" w:hAnsi="仿宋" w:eastAsia="仿宋" w:cs="仿宋"/>
          <w:color w:val="000000"/>
          <w:sz w:val="32"/>
          <w:szCs w:val="32"/>
        </w:rPr>
        <w:t>①</w:t>
      </w:r>
      <w:r>
        <w:rPr>
          <w:rFonts w:hint="eastAsia" w:ascii="仿宋_GB2312" w:eastAsia="仿宋_GB2312"/>
          <w:color w:val="000000"/>
          <w:sz w:val="32"/>
          <w:szCs w:val="32"/>
        </w:rPr>
        <w:t>《上海票据交易所参与者退出申请表》</w:t>
      </w:r>
      <w:r>
        <w:rPr>
          <w:rFonts w:hint="eastAsia" w:ascii="仿宋" w:hAnsi="仿宋" w:eastAsia="仿宋" w:cs="仿宋"/>
          <w:sz w:val="32"/>
          <w:szCs w:val="32"/>
        </w:rPr>
        <w:t>（附件9）</w:t>
      </w:r>
      <w:r>
        <w:rPr>
          <w:rFonts w:hint="eastAsia" w:ascii="仿宋_GB2312" w:eastAsia="仿宋_GB2312"/>
          <w:color w:val="000000"/>
          <w:sz w:val="32"/>
          <w:szCs w:val="32"/>
        </w:rPr>
        <w:t>；</w:t>
      </w:r>
    </w:p>
    <w:p>
      <w:pPr>
        <w:spacing w:line="590" w:lineRule="exact"/>
        <w:ind w:firstLine="640" w:firstLineChars="200"/>
        <w:rPr>
          <w:rFonts w:ascii="仿宋_GB2312" w:eastAsia="仿宋_GB2312"/>
          <w:color w:val="000000"/>
          <w:sz w:val="32"/>
          <w:szCs w:val="32"/>
        </w:rPr>
      </w:pPr>
      <w:r>
        <w:rPr>
          <w:rFonts w:hint="eastAsia" w:ascii="仿宋" w:hAnsi="仿宋" w:eastAsia="仿宋" w:cs="仿宋"/>
          <w:color w:val="000000"/>
          <w:sz w:val="32"/>
          <w:szCs w:val="32"/>
        </w:rPr>
        <w:t>②</w:t>
      </w:r>
      <w:r>
        <w:rPr>
          <w:rFonts w:hint="eastAsia" w:ascii="仿宋_GB2312" w:eastAsia="仿宋_GB2312"/>
          <w:color w:val="000000"/>
          <w:sz w:val="32"/>
          <w:szCs w:val="32"/>
        </w:rPr>
        <w:t>业务结清证明或业务承接具体实施方案；</w:t>
      </w:r>
    </w:p>
    <w:p>
      <w:pPr>
        <w:spacing w:line="590" w:lineRule="exact"/>
        <w:ind w:firstLine="640" w:firstLineChars="200"/>
        <w:rPr>
          <w:rFonts w:ascii="仿宋_GB2312" w:eastAsia="仿宋_GB2312"/>
          <w:color w:val="000000"/>
          <w:sz w:val="32"/>
          <w:szCs w:val="32"/>
        </w:rPr>
      </w:pPr>
      <w:r>
        <w:rPr>
          <w:rFonts w:hint="eastAsia" w:ascii="仿宋" w:hAnsi="仿宋" w:eastAsia="仿宋" w:cs="仿宋"/>
          <w:color w:val="000000"/>
          <w:sz w:val="32"/>
          <w:szCs w:val="32"/>
        </w:rPr>
        <w:t>③</w:t>
      </w:r>
      <w:r>
        <w:rPr>
          <w:rFonts w:hint="eastAsia" w:ascii="仿宋_GB2312" w:eastAsia="仿宋_GB2312"/>
          <w:color w:val="000000"/>
          <w:sz w:val="32"/>
          <w:szCs w:val="32"/>
        </w:rPr>
        <w:t>票交所要求提交的其他材料。</w:t>
      </w:r>
    </w:p>
    <w:p>
      <w:pPr>
        <w:spacing w:line="590" w:lineRule="exact"/>
        <w:ind w:firstLine="640" w:firstLineChars="200"/>
        <w:rPr>
          <w:rFonts w:ascii="仿宋_GB2312" w:eastAsia="仿宋_GB2312"/>
          <w:color w:val="000000"/>
          <w:sz w:val="32"/>
          <w:szCs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1.上述申请材料应加盖单位公章，寄送至票交所。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上海票据交易所：上海市黄浦区半淞园路377号A区，上海票据交易所交易部，021-23139999。</w:t>
      </w:r>
    </w:p>
    <w:p>
      <w:pPr>
        <w:spacing w:line="590" w:lineRule="exact"/>
        <w:ind w:firstLine="640" w:firstLineChars="200"/>
        <w:rPr>
          <w:rFonts w:ascii="仿宋" w:hAnsi="仿宋" w:eastAsia="仿宋" w:cs="仿宋"/>
          <w:sz w:val="32"/>
          <w:szCs w:val="32"/>
        </w:rPr>
      </w:pPr>
      <w:r>
        <w:rPr>
          <w:rFonts w:hint="eastAsia" w:ascii="仿宋_GB2312" w:eastAsia="仿宋_GB2312"/>
          <w:color w:val="000000"/>
          <w:sz w:val="32"/>
          <w:szCs w:val="32"/>
        </w:rPr>
        <w:t>2.票交所于收到相应材料的3个工作日内反馈受理情况。</w:t>
      </w:r>
    </w:p>
    <w:p>
      <w:pPr>
        <w:spacing w:line="590" w:lineRule="exact"/>
        <w:ind w:firstLine="640" w:firstLineChars="200"/>
        <w:rPr>
          <w:rFonts w:ascii="仿宋" w:hAnsi="仿宋" w:eastAsia="仿宋" w:cs="仿宋"/>
          <w:color w:val="000000"/>
          <w:sz w:val="32"/>
          <w:szCs w:val="32"/>
        </w:rPr>
      </w:pPr>
    </w:p>
    <w:bookmarkEnd w:id="153"/>
    <w:bookmarkEnd w:id="223"/>
    <w:bookmarkEnd w:id="224"/>
    <w:bookmarkEnd w:id="225"/>
    <w:bookmarkEnd w:id="226"/>
    <w:bookmarkEnd w:id="227"/>
    <w:bookmarkEnd w:id="228"/>
    <w:bookmarkEnd w:id="229"/>
    <w:p>
      <w:pPr>
        <w:spacing w:line="590" w:lineRule="exact"/>
        <w:ind w:firstLine="643" w:firstLineChars="200"/>
        <w:outlineLvl w:val="2"/>
        <w:rPr>
          <w:rFonts w:ascii="仿宋" w:hAnsi="仿宋" w:eastAsia="仿宋" w:cs="仿宋"/>
          <w:b/>
          <w:bCs/>
          <w:sz w:val="32"/>
          <w:szCs w:val="32"/>
        </w:rPr>
      </w:pPr>
      <w:bookmarkStart w:id="269" w:name="_Toc16958"/>
      <w:bookmarkStart w:id="270" w:name="_Toc8081"/>
      <w:bookmarkStart w:id="271" w:name="_Toc16749"/>
      <w:bookmarkStart w:id="272" w:name="_Toc7651"/>
      <w:bookmarkStart w:id="273" w:name="_Toc3544"/>
      <w:bookmarkStart w:id="274" w:name="_Toc4068"/>
      <w:bookmarkStart w:id="275" w:name="_Toc1305"/>
      <w:bookmarkStart w:id="276" w:name="_Toc5247"/>
      <w:bookmarkStart w:id="277" w:name="_Toc4701"/>
      <w:bookmarkStart w:id="278" w:name="_Toc27009"/>
      <w:bookmarkStart w:id="279" w:name="_Toc5408"/>
      <w:bookmarkStart w:id="280" w:name="_Toc118803974"/>
      <w:bookmarkStart w:id="281" w:name="_Toc18496"/>
      <w:bookmarkStart w:id="282" w:name="_Toc571"/>
      <w:bookmarkStart w:id="283" w:name="_Toc22671"/>
      <w:bookmarkStart w:id="284" w:name="_Toc21969"/>
      <w:bookmarkStart w:id="285" w:name="_Toc3267"/>
      <w:bookmarkStart w:id="286" w:name="_Toc1647"/>
      <w:bookmarkStart w:id="287" w:name="_Toc21257"/>
      <w:bookmarkStart w:id="288" w:name="_Toc8568"/>
      <w:bookmarkStart w:id="289" w:name="_Toc27871"/>
      <w:r>
        <w:rPr>
          <w:rFonts w:hint="eastAsia" w:ascii="仿宋" w:hAnsi="仿宋" w:eastAsia="仿宋" w:cs="仿宋"/>
          <w:b/>
          <w:bCs/>
          <w:sz w:val="32"/>
          <w:szCs w:val="32"/>
        </w:rPr>
        <w:t>1.4.2“票付通”业务的参与机构</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5"/>
        <w:numPr>
          <w:ilvl w:val="255"/>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1.4.2.1准入</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机构申报成为“票付通”业务的合作机构、开通开户行功能、新增接入B2B平台时，参照</w:t>
      </w:r>
      <w:r>
        <w:rPr>
          <w:rFonts w:hint="eastAsia" w:ascii="仿宋" w:hAnsi="仿宋" w:eastAsia="仿宋" w:cs="仿宋"/>
          <w:sz w:val="32"/>
          <w:szCs w:val="32"/>
          <w:lang w:eastAsia="zh-CN" w:bidi="ar"/>
        </w:rPr>
        <w:t>《上海票据交易所“票付通”业务规则（暂行）》、</w:t>
      </w:r>
      <w:r>
        <w:rPr>
          <w:rFonts w:hint="eastAsia" w:ascii="仿宋" w:hAnsi="仿宋" w:eastAsia="仿宋" w:cs="仿宋"/>
          <w:sz w:val="32"/>
          <w:szCs w:val="32"/>
          <w:lang w:bidi="ar"/>
        </w:rPr>
        <w:t>《上海票据交易所“票付通”业务申报接入规范（暂行）》执行。其资质条件、申请材料、申请办理流程如下：</w:t>
      </w:r>
    </w:p>
    <w:p>
      <w:pPr>
        <w:spacing w:line="590" w:lineRule="exact"/>
        <w:ind w:firstLine="640" w:firstLineChars="20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[准入条件]</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1.合作机构</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sz w:val="32"/>
          <w:szCs w:val="32"/>
          <w:lang w:bidi="ar"/>
        </w:rPr>
        <w:t>①已接入或正在申请接入票交所</w:t>
      </w:r>
      <w:r>
        <w:rPr>
          <w:rFonts w:hint="eastAsia" w:ascii="仿宋" w:hAnsi="仿宋" w:eastAsia="仿宋" w:cs="仿宋"/>
          <w:sz w:val="32"/>
          <w:szCs w:val="32"/>
          <w:lang w:bidi="ar"/>
        </w:rPr>
        <w:t>的银行业金融机构、财务公司以及人民银行或票交所认可的其他机构；</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sz w:val="32"/>
          <w:szCs w:val="32"/>
          <w:lang w:bidi="ar"/>
        </w:rPr>
        <w:t>②</w:t>
      </w:r>
      <w:r>
        <w:rPr>
          <w:rFonts w:hint="eastAsia" w:ascii="仿宋" w:hAnsi="仿宋" w:eastAsia="仿宋" w:cs="仿宋"/>
          <w:sz w:val="32"/>
          <w:szCs w:val="32"/>
          <w:lang w:bidi="ar"/>
        </w:rPr>
        <w:t>财务公司作为合作机构时，业务范围应当符合《企业集团财务公司管理办法》等相关规定；</w:t>
      </w:r>
    </w:p>
    <w:p>
      <w:pPr>
        <w:spacing w:line="590" w:lineRule="exact"/>
        <w:ind w:firstLine="640" w:firstLineChars="200"/>
        <w:rPr>
          <w:rFonts w:ascii="仿宋" w:hAnsi="仿宋" w:eastAsia="仿宋" w:cs="Times New Roman"/>
          <w:sz w:val="32"/>
          <w:szCs w:val="32"/>
        </w:rPr>
      </w:pPr>
      <w:r>
        <w:rPr>
          <w:rFonts w:hint="eastAsia" w:ascii="仿宋" w:hAnsi="仿宋" w:eastAsia="仿宋" w:cs="仿宋"/>
          <w:color w:val="000000"/>
          <w:sz w:val="32"/>
          <w:szCs w:val="32"/>
          <w:lang w:bidi="ar"/>
        </w:rPr>
        <w:t>③</w:t>
      </w:r>
      <w:r>
        <w:rPr>
          <w:rFonts w:hint="eastAsia" w:ascii="仿宋" w:hAnsi="仿宋" w:eastAsia="仿宋" w:cs="仿宋"/>
          <w:sz w:val="32"/>
          <w:szCs w:val="32"/>
          <w:lang w:bidi="ar"/>
        </w:rPr>
        <w:t>近2年在票据业务及其接入服务等方面未发生或未引发重大风险事件；</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sz w:val="32"/>
          <w:szCs w:val="32"/>
          <w:lang w:bidi="ar"/>
        </w:rPr>
        <w:t>④原则上</w:t>
      </w:r>
      <w:r>
        <w:rPr>
          <w:rFonts w:hint="eastAsia" w:ascii="仿宋" w:hAnsi="仿宋" w:eastAsia="仿宋" w:cs="仿宋"/>
          <w:sz w:val="32"/>
          <w:szCs w:val="32"/>
          <w:lang w:bidi="ar"/>
        </w:rPr>
        <w:t>最近1年的MPA考核均达到B档及以上。</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2.新增接入B2B平台</w:t>
      </w:r>
    </w:p>
    <w:p>
      <w:pPr>
        <w:pStyle w:val="16"/>
        <w:spacing w:beforeAutospacing="0" w:afterAutospacing="0" w:line="560" w:lineRule="exact"/>
        <w:ind w:firstLine="640" w:firstLineChars="200"/>
        <w:jc w:val="both"/>
        <w:rPr>
          <w:rFonts w:ascii="仿宋" w:hAnsi="仿宋" w:eastAsia="仿宋" w:cs="仿宋"/>
          <w:color w:val="000000"/>
          <w:kern w:val="2"/>
          <w:sz w:val="32"/>
          <w:szCs w:val="32"/>
        </w:rPr>
      </w:pPr>
      <w:r>
        <w:rPr>
          <w:rFonts w:hint="eastAsia" w:ascii="仿宋" w:hAnsi="仿宋" w:eastAsia="仿宋" w:cs="仿宋"/>
          <w:color w:val="000000"/>
          <w:kern w:val="2"/>
          <w:sz w:val="32"/>
          <w:szCs w:val="32"/>
          <w:lang w:bidi="ar"/>
        </w:rPr>
        <w:t>①合作机构与B2B平台已经连续合作1年及以上时间或已经开展授信业务</w:t>
      </w:r>
      <w:r>
        <w:rPr>
          <w:rFonts w:hint="eastAsia" w:ascii="仿宋" w:hAnsi="仿宋" w:eastAsia="仿宋" w:cs="仿宋"/>
          <w:color w:val="000000"/>
          <w:kern w:val="2"/>
          <w:sz w:val="32"/>
          <w:szCs w:val="32"/>
          <w:lang w:eastAsia="zh-CN" w:bidi="ar"/>
        </w:rPr>
        <w:t>；</w:t>
      </w:r>
    </w:p>
    <w:p>
      <w:pPr>
        <w:pStyle w:val="16"/>
        <w:spacing w:beforeAutospacing="0" w:afterAutospacing="0" w:line="560" w:lineRule="exact"/>
        <w:ind w:firstLine="640" w:firstLineChars="200"/>
        <w:jc w:val="both"/>
        <w:rPr>
          <w:rFonts w:ascii="仿宋" w:hAnsi="仿宋" w:eastAsia="仿宋" w:cs="仿宋_GB2312"/>
          <w:kern w:val="2"/>
          <w:sz w:val="32"/>
          <w:szCs w:val="32"/>
        </w:rPr>
      </w:pPr>
      <w:r>
        <w:rPr>
          <w:rFonts w:hint="eastAsia" w:ascii="仿宋" w:hAnsi="仿宋" w:eastAsia="仿宋" w:cs="仿宋"/>
          <w:color w:val="000000"/>
          <w:kern w:val="2"/>
          <w:sz w:val="32"/>
          <w:szCs w:val="32"/>
          <w:lang w:bidi="ar"/>
        </w:rPr>
        <w:t>②B2B平台</w:t>
      </w:r>
      <w:r>
        <w:rPr>
          <w:rFonts w:hint="eastAsia" w:ascii="仿宋" w:hAnsi="仿宋" w:eastAsia="仿宋" w:cs="仿宋"/>
          <w:kern w:val="2"/>
          <w:sz w:val="32"/>
          <w:szCs w:val="32"/>
          <w:lang w:bidi="ar"/>
        </w:rPr>
        <w:t>具有客户实名身份的识别能力、消费者权益保护的机制、票据支付信息的保护能力和成熟的纠纷处理能力；</w:t>
      </w:r>
    </w:p>
    <w:p>
      <w:pPr>
        <w:pStyle w:val="16"/>
        <w:spacing w:beforeAutospacing="0" w:afterAutospacing="0" w:line="560" w:lineRule="exact"/>
        <w:ind w:firstLine="640" w:firstLineChars="200"/>
        <w:jc w:val="both"/>
        <w:rPr>
          <w:rFonts w:ascii="仿宋" w:hAnsi="仿宋" w:eastAsia="仿宋" w:cs="仿宋_GB2312"/>
          <w:kern w:val="2"/>
          <w:sz w:val="32"/>
          <w:szCs w:val="32"/>
        </w:rPr>
      </w:pPr>
      <w:r>
        <w:rPr>
          <w:rFonts w:hint="eastAsia" w:ascii="仿宋" w:hAnsi="仿宋" w:eastAsia="仿宋" w:cs="仿宋"/>
          <w:color w:val="000000"/>
          <w:kern w:val="2"/>
          <w:sz w:val="32"/>
          <w:szCs w:val="32"/>
          <w:lang w:bidi="ar"/>
        </w:rPr>
        <w:t>③</w:t>
      </w:r>
      <w:r>
        <w:rPr>
          <w:rFonts w:hint="eastAsia" w:ascii="仿宋" w:hAnsi="仿宋" w:eastAsia="仿宋" w:cs="仿宋"/>
          <w:kern w:val="2"/>
          <w:sz w:val="32"/>
          <w:szCs w:val="32"/>
          <w:lang w:bidi="ar"/>
        </w:rPr>
        <w:t>近</w:t>
      </w:r>
      <w:r>
        <w:rPr>
          <w:rFonts w:hint="eastAsia" w:ascii="仿宋" w:hAnsi="仿宋" w:eastAsia="仿宋" w:cs="仿宋_GB2312"/>
          <w:kern w:val="2"/>
          <w:sz w:val="32"/>
          <w:szCs w:val="32"/>
          <w:lang w:bidi="ar"/>
        </w:rPr>
        <w:t>2</w:t>
      </w:r>
      <w:r>
        <w:rPr>
          <w:rFonts w:hint="eastAsia" w:ascii="仿宋" w:hAnsi="仿宋" w:eastAsia="仿宋" w:cs="仿宋"/>
          <w:kern w:val="2"/>
          <w:sz w:val="32"/>
          <w:szCs w:val="32"/>
          <w:lang w:bidi="ar"/>
        </w:rPr>
        <w:t>年</w:t>
      </w:r>
      <w:r>
        <w:rPr>
          <w:rFonts w:hint="eastAsia" w:ascii="仿宋" w:hAnsi="仿宋" w:eastAsia="仿宋" w:cs="仿宋_GB2312"/>
          <w:kern w:val="2"/>
          <w:sz w:val="32"/>
          <w:szCs w:val="32"/>
          <w:lang w:bidi="ar"/>
        </w:rPr>
        <w:t>B2B平台及其所属集团在票据业务</w:t>
      </w:r>
      <w:r>
        <w:rPr>
          <w:rFonts w:hint="eastAsia" w:ascii="仿宋" w:hAnsi="仿宋" w:eastAsia="仿宋" w:cs="仿宋"/>
          <w:kern w:val="2"/>
          <w:sz w:val="32"/>
          <w:szCs w:val="32"/>
          <w:lang w:bidi="ar"/>
        </w:rPr>
        <w:t>或其他债务、信息安全、网络安全等方面未发生或未引发重大风险事件。</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3.“票付通”开户行</w:t>
      </w:r>
    </w:p>
    <w:p>
      <w:pPr>
        <w:spacing w:line="590" w:lineRule="exact"/>
        <w:ind w:firstLine="640"/>
        <w:rPr>
          <w:rFonts w:ascii="仿宋" w:hAnsi="仿宋" w:eastAsia="仿宋" w:cs="仿宋"/>
          <w:sz w:val="32"/>
          <w:szCs w:val="32"/>
          <w:lang w:bidi="ar"/>
        </w:rPr>
      </w:pPr>
      <w:r>
        <w:rPr>
          <w:rFonts w:hint="eastAsia" w:ascii="仿宋" w:hAnsi="仿宋" w:eastAsia="仿宋" w:cs="仿宋"/>
          <w:color w:val="000000"/>
          <w:sz w:val="32"/>
          <w:szCs w:val="32"/>
          <w:lang w:bidi="ar"/>
        </w:rPr>
        <w:t>①已接入或正在申请接入票交所</w:t>
      </w:r>
      <w:r>
        <w:rPr>
          <w:rFonts w:hint="eastAsia" w:ascii="仿宋" w:hAnsi="仿宋" w:eastAsia="仿宋" w:cs="仿宋"/>
          <w:sz w:val="32"/>
          <w:szCs w:val="32"/>
          <w:lang w:bidi="ar"/>
        </w:rPr>
        <w:t>的银行业金融机构、财务公</w:t>
      </w:r>
      <w:r>
        <w:rPr>
          <w:rFonts w:hint="eastAsia" w:ascii="仿宋" w:hAnsi="仿宋" w:eastAsia="仿宋" w:cs="仿宋"/>
          <w:color w:val="000000"/>
          <w:sz w:val="32"/>
          <w:szCs w:val="32"/>
          <w:lang w:bidi="ar"/>
        </w:rPr>
        <w:t>司</w:t>
      </w:r>
      <w:r>
        <w:rPr>
          <w:rFonts w:hint="eastAsia" w:ascii="仿宋" w:hAnsi="仿宋" w:eastAsia="仿宋" w:cs="仿宋"/>
          <w:color w:val="000000"/>
          <w:sz w:val="32"/>
          <w:szCs w:val="32"/>
          <w:lang w:eastAsia="zh-CN" w:bidi="ar"/>
        </w:rPr>
        <w:t>；</w:t>
      </w:r>
    </w:p>
    <w:p>
      <w:pPr>
        <w:spacing w:line="590" w:lineRule="exact"/>
        <w:ind w:firstLine="640"/>
        <w:rPr>
          <w:rFonts w:ascii="仿宋" w:hAnsi="仿宋" w:eastAsia="仿宋" w:cs="仿宋"/>
          <w:sz w:val="32"/>
          <w:szCs w:val="32"/>
          <w:lang w:bidi="ar"/>
        </w:rPr>
      </w:pPr>
      <w:r>
        <w:rPr>
          <w:rFonts w:hint="eastAsia" w:ascii="仿宋" w:hAnsi="仿宋" w:eastAsia="仿宋" w:cs="仿宋"/>
          <w:color w:val="000000"/>
          <w:sz w:val="32"/>
          <w:szCs w:val="32"/>
          <w:lang w:bidi="ar"/>
        </w:rPr>
        <w:t>②</w:t>
      </w:r>
      <w:r>
        <w:rPr>
          <w:rFonts w:hint="eastAsia" w:ascii="仿宋" w:hAnsi="仿宋" w:eastAsia="仿宋" w:cs="仿宋"/>
          <w:sz w:val="32"/>
          <w:szCs w:val="32"/>
          <w:lang w:bidi="ar"/>
        </w:rPr>
        <w:t>合作机构可以同步申报开通“票付通”开户行功能。</w:t>
      </w:r>
    </w:p>
    <w:p>
      <w:pPr>
        <w:spacing w:line="590" w:lineRule="exact"/>
        <w:ind w:firstLine="64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[申请材料清单]</w:t>
      </w:r>
    </w:p>
    <w:p>
      <w:pPr>
        <w:spacing w:line="560" w:lineRule="exact"/>
        <w:ind w:firstLine="640" w:firstLineChars="200"/>
        <w:rPr>
          <w:rFonts w:ascii="仿宋" w:hAnsi="仿宋" w:eastAsia="仿宋" w:cs="Times New Roman"/>
          <w:sz w:val="32"/>
          <w:szCs w:val="32"/>
        </w:rPr>
      </w:pPr>
      <w:r>
        <w:rPr>
          <w:rFonts w:hint="eastAsia" w:ascii="仿宋" w:hAnsi="仿宋" w:eastAsia="仿宋" w:cs="仿宋"/>
          <w:color w:val="000000"/>
          <w:sz w:val="32"/>
          <w:szCs w:val="32"/>
          <w:lang w:bidi="ar"/>
        </w:rPr>
        <w:t>①</w:t>
      </w:r>
      <w:r>
        <w:rPr>
          <w:rFonts w:hint="eastAsia" w:ascii="仿宋" w:hAnsi="仿宋" w:eastAsia="仿宋" w:cs="仿宋"/>
          <w:sz w:val="32"/>
          <w:szCs w:val="32"/>
          <w:lang w:bidi="ar"/>
        </w:rPr>
        <w:t>《上海票据交易所参与者</w:t>
      </w:r>
      <w:r>
        <w:rPr>
          <w:rFonts w:hint="eastAsia" w:ascii="仿宋" w:hAnsi="仿宋" w:eastAsia="仿宋" w:cs="仿宋"/>
          <w:sz w:val="32"/>
          <w:szCs w:val="32"/>
          <w:lang w:eastAsia="zh-CN" w:bidi="ar"/>
        </w:rPr>
        <w:t>加入</w:t>
      </w:r>
      <w:r>
        <w:rPr>
          <w:rFonts w:hint="eastAsia" w:ascii="仿宋" w:hAnsi="仿宋" w:eastAsia="仿宋" w:cs="仿宋"/>
          <w:sz w:val="32"/>
          <w:szCs w:val="32"/>
          <w:lang w:bidi="ar"/>
        </w:rPr>
        <w:t>申请表》</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附件3</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w:t>
      </w:r>
    </w:p>
    <w:p>
      <w:pPr>
        <w:spacing w:line="560" w:lineRule="exact"/>
        <w:ind w:firstLine="640" w:firstLineChars="200"/>
        <w:rPr>
          <w:rFonts w:ascii="仿宋" w:hAnsi="仿宋" w:eastAsia="仿宋" w:cs="Times New Roman"/>
          <w:sz w:val="32"/>
          <w:szCs w:val="32"/>
        </w:rPr>
      </w:pPr>
      <w:r>
        <w:rPr>
          <w:rFonts w:hint="eastAsia" w:ascii="仿宋" w:hAnsi="仿宋" w:eastAsia="仿宋" w:cs="仿宋"/>
          <w:color w:val="000000"/>
          <w:sz w:val="32"/>
          <w:szCs w:val="32"/>
          <w:lang w:bidi="ar"/>
        </w:rPr>
        <w:t>②合作机构</w:t>
      </w:r>
      <w:r>
        <w:rPr>
          <w:rFonts w:hint="eastAsia" w:ascii="仿宋" w:hAnsi="仿宋" w:eastAsia="仿宋" w:cs="仿宋"/>
          <w:sz w:val="32"/>
          <w:szCs w:val="32"/>
          <w:lang w:bidi="ar"/>
        </w:rPr>
        <w:t>申报说明，包括机构票据业务开展情况、符合准入条件的相关说明和证明材料、“票付通”业务规划等；</w:t>
      </w:r>
    </w:p>
    <w:p>
      <w:pPr>
        <w:pStyle w:val="16"/>
        <w:spacing w:beforeAutospacing="0" w:afterAutospacing="0" w:line="560" w:lineRule="exact"/>
        <w:ind w:firstLine="640" w:firstLineChars="200"/>
        <w:jc w:val="both"/>
        <w:rPr>
          <w:rFonts w:ascii="仿宋" w:hAnsi="仿宋" w:eastAsia="仿宋"/>
          <w:kern w:val="2"/>
          <w:sz w:val="32"/>
          <w:szCs w:val="32"/>
        </w:rPr>
      </w:pPr>
      <w:r>
        <w:rPr>
          <w:rFonts w:hint="eastAsia" w:ascii="仿宋" w:hAnsi="仿宋" w:eastAsia="仿宋" w:cs="仿宋"/>
          <w:color w:val="000000"/>
          <w:kern w:val="2"/>
          <w:sz w:val="32"/>
          <w:szCs w:val="32"/>
          <w:lang w:bidi="ar"/>
        </w:rPr>
        <w:t>③</w:t>
      </w:r>
      <w:r>
        <w:rPr>
          <w:rFonts w:hint="eastAsia" w:ascii="仿宋" w:hAnsi="仿宋" w:eastAsia="仿宋" w:cs="仿宋"/>
          <w:kern w:val="2"/>
          <w:sz w:val="32"/>
          <w:szCs w:val="32"/>
          <w:lang w:bidi="ar"/>
        </w:rPr>
        <w:t>拟合作的B</w:t>
      </w:r>
      <w:r>
        <w:rPr>
          <w:rFonts w:hint="eastAsia" w:ascii="仿宋" w:hAnsi="仿宋" w:eastAsia="仿宋"/>
          <w:kern w:val="2"/>
          <w:sz w:val="32"/>
          <w:szCs w:val="32"/>
          <w:lang w:bidi="ar"/>
        </w:rPr>
        <w:t>2B平台申</w:t>
      </w:r>
      <w:r>
        <w:rPr>
          <w:rFonts w:hint="eastAsia" w:ascii="仿宋" w:hAnsi="仿宋" w:eastAsia="仿宋" w:cs="仿宋"/>
          <w:kern w:val="2"/>
          <w:sz w:val="32"/>
          <w:szCs w:val="32"/>
          <w:lang w:bidi="ar"/>
        </w:rPr>
        <w:t>报材料：</w:t>
      </w:r>
    </w:p>
    <w:p>
      <w:pPr>
        <w:pStyle w:val="16"/>
        <w:numPr>
          <w:ilvl w:val="0"/>
          <w:numId w:val="7"/>
        </w:numPr>
        <w:spacing w:beforeAutospacing="0" w:afterAutospacing="0" w:line="560" w:lineRule="exact"/>
        <w:ind w:left="0" w:firstLine="640"/>
        <w:jc w:val="both"/>
        <w:rPr>
          <w:rFonts w:ascii="仿宋" w:hAnsi="仿宋" w:eastAsia="仿宋" w:cs="仿宋_GB2312"/>
          <w:kern w:val="2"/>
          <w:sz w:val="32"/>
          <w:szCs w:val="32"/>
        </w:rPr>
      </w:pPr>
      <w:r>
        <w:rPr>
          <w:rFonts w:hint="eastAsia" w:ascii="仿宋" w:hAnsi="仿宋" w:eastAsia="仿宋" w:cs="仿宋"/>
          <w:kern w:val="2"/>
          <w:sz w:val="32"/>
          <w:szCs w:val="32"/>
          <w:lang w:bidi="ar"/>
        </w:rPr>
        <w:t>《上海票据交易所参与者</w:t>
      </w:r>
      <w:r>
        <w:rPr>
          <w:rFonts w:hint="eastAsia" w:ascii="仿宋" w:hAnsi="仿宋" w:eastAsia="仿宋" w:cs="仿宋"/>
          <w:kern w:val="2"/>
          <w:sz w:val="32"/>
          <w:szCs w:val="32"/>
          <w:lang w:eastAsia="zh-CN" w:bidi="ar"/>
        </w:rPr>
        <w:t>加入</w:t>
      </w:r>
      <w:r>
        <w:rPr>
          <w:rFonts w:hint="eastAsia" w:ascii="仿宋" w:hAnsi="仿宋" w:eastAsia="仿宋" w:cs="仿宋"/>
          <w:kern w:val="2"/>
          <w:sz w:val="32"/>
          <w:szCs w:val="32"/>
          <w:lang w:bidi="ar"/>
        </w:rPr>
        <w:t>申请表》</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附件3</w:t>
      </w:r>
      <w:r>
        <w:rPr>
          <w:rFonts w:hint="eastAsia" w:ascii="仿宋" w:hAnsi="仿宋" w:eastAsia="仿宋" w:cs="仿宋"/>
          <w:sz w:val="32"/>
          <w:szCs w:val="32"/>
          <w:lang w:eastAsia="zh-CN" w:bidi="ar"/>
        </w:rPr>
        <w:t>）</w:t>
      </w:r>
      <w:r>
        <w:rPr>
          <w:rFonts w:hint="eastAsia" w:ascii="仿宋" w:hAnsi="仿宋" w:eastAsia="仿宋" w:cs="仿宋"/>
          <w:kern w:val="2"/>
          <w:sz w:val="32"/>
          <w:szCs w:val="32"/>
          <w:lang w:bidi="ar"/>
        </w:rPr>
        <w:t>；</w:t>
      </w:r>
    </w:p>
    <w:p>
      <w:pPr>
        <w:pStyle w:val="16"/>
        <w:numPr>
          <w:ilvl w:val="0"/>
          <w:numId w:val="7"/>
        </w:numPr>
        <w:spacing w:beforeAutospacing="0" w:afterAutospacing="0" w:line="560" w:lineRule="exact"/>
        <w:ind w:left="0" w:firstLine="640"/>
        <w:jc w:val="both"/>
        <w:rPr>
          <w:rFonts w:ascii="仿宋" w:hAnsi="仿宋" w:eastAsia="仿宋"/>
          <w:kern w:val="2"/>
          <w:sz w:val="32"/>
          <w:szCs w:val="32"/>
        </w:rPr>
      </w:pPr>
      <w:r>
        <w:rPr>
          <w:rFonts w:hint="eastAsia" w:ascii="仿宋" w:hAnsi="仿宋" w:eastAsia="仿宋" w:cs="仿宋"/>
          <w:kern w:val="2"/>
          <w:sz w:val="32"/>
          <w:szCs w:val="32"/>
          <w:lang w:bidi="ar"/>
        </w:rPr>
        <w:t>合作机构出具的</w:t>
      </w:r>
      <w:r>
        <w:rPr>
          <w:rFonts w:hint="eastAsia" w:ascii="仿宋" w:hAnsi="仿宋" w:eastAsia="仿宋" w:cs="仿宋_GB2312"/>
          <w:kern w:val="2"/>
          <w:sz w:val="32"/>
          <w:szCs w:val="32"/>
          <w:lang w:bidi="ar"/>
        </w:rPr>
        <w:t>B2B平台符合条件</w:t>
      </w:r>
      <w:r>
        <w:rPr>
          <w:rFonts w:hint="eastAsia" w:ascii="仿宋" w:hAnsi="仿宋" w:eastAsia="仿宋" w:cs="仿宋"/>
          <w:kern w:val="2"/>
          <w:sz w:val="32"/>
          <w:szCs w:val="32"/>
          <w:lang w:bidi="ar"/>
        </w:rPr>
        <w:t>的审核意见，包含B2B平台符合准入条件的说明、与B2B平台业务合作情况、“票付通”推广计划等，附上B2B平台提供的介绍材料；</w:t>
      </w:r>
    </w:p>
    <w:p>
      <w:pPr>
        <w:pStyle w:val="16"/>
        <w:numPr>
          <w:ilvl w:val="0"/>
          <w:numId w:val="7"/>
        </w:numPr>
        <w:spacing w:beforeAutospacing="0" w:afterAutospacing="0" w:line="560" w:lineRule="exact"/>
        <w:ind w:left="0" w:firstLine="640"/>
        <w:jc w:val="both"/>
        <w:rPr>
          <w:rFonts w:ascii="仿宋" w:hAnsi="仿宋" w:eastAsia="仿宋"/>
          <w:kern w:val="2"/>
          <w:sz w:val="32"/>
          <w:szCs w:val="32"/>
        </w:rPr>
      </w:pPr>
      <w:r>
        <w:rPr>
          <w:rFonts w:hint="eastAsia" w:ascii="仿宋" w:hAnsi="仿宋" w:eastAsia="仿宋" w:cs="仿宋_GB2312"/>
          <w:kern w:val="2"/>
          <w:sz w:val="32"/>
          <w:szCs w:val="32"/>
          <w:lang w:bidi="ar"/>
        </w:rPr>
        <w:t>B2B平台经营主体的营业执照正本或副本的复印件</w:t>
      </w:r>
      <w:r>
        <w:rPr>
          <w:rFonts w:hint="eastAsia" w:ascii="仿宋" w:hAnsi="仿宋" w:eastAsia="仿宋" w:cs="仿宋"/>
          <w:kern w:val="2"/>
          <w:sz w:val="32"/>
          <w:szCs w:val="32"/>
          <w:lang w:bidi="ar"/>
        </w:rPr>
        <w:t>；</w:t>
      </w:r>
    </w:p>
    <w:p>
      <w:pPr>
        <w:pStyle w:val="16"/>
        <w:numPr>
          <w:ilvl w:val="0"/>
          <w:numId w:val="7"/>
        </w:numPr>
        <w:spacing w:beforeAutospacing="0" w:afterAutospacing="0" w:line="560" w:lineRule="exact"/>
        <w:ind w:left="0" w:firstLine="640"/>
        <w:jc w:val="both"/>
        <w:rPr>
          <w:rFonts w:ascii="仿宋" w:hAnsi="仿宋" w:eastAsia="仿宋"/>
          <w:kern w:val="2"/>
          <w:sz w:val="32"/>
          <w:szCs w:val="32"/>
        </w:rPr>
      </w:pPr>
      <w:r>
        <w:rPr>
          <w:rFonts w:hint="eastAsia" w:ascii="仿宋" w:hAnsi="仿宋" w:eastAsia="仿宋" w:cs="仿宋"/>
          <w:kern w:val="2"/>
          <w:sz w:val="32"/>
          <w:szCs w:val="32"/>
          <w:lang w:bidi="ar"/>
        </w:rPr>
        <w:t>B2B平台在合作机构开户资料复印件。</w:t>
      </w:r>
    </w:p>
    <w:p>
      <w:pPr>
        <w:spacing w:line="560" w:lineRule="exact"/>
        <w:ind w:firstLine="640" w:firstLineChars="200"/>
        <w:rPr>
          <w:rFonts w:ascii="仿宋" w:hAnsi="仿宋" w:eastAsia="仿宋" w:cs="仿宋"/>
          <w:sz w:val="32"/>
          <w:szCs w:val="32"/>
        </w:rPr>
      </w:pPr>
      <w:r>
        <w:rPr>
          <w:rFonts w:hint="eastAsia" w:ascii="仿宋" w:hAnsi="仿宋" w:eastAsia="仿宋" w:cs="仿宋"/>
          <w:color w:val="000000"/>
          <w:sz w:val="32"/>
          <w:szCs w:val="32"/>
          <w:lang w:bidi="ar"/>
        </w:rPr>
        <w:t>④</w:t>
      </w:r>
      <w:r>
        <w:rPr>
          <w:rFonts w:hint="eastAsia" w:ascii="仿宋" w:hAnsi="仿宋" w:eastAsia="仿宋" w:cs="仿宋"/>
          <w:sz w:val="32"/>
          <w:szCs w:val="32"/>
          <w:lang w:bidi="ar"/>
        </w:rPr>
        <w:t>合作机构总行（或总部）出具的授权（一级）分行清单。</w:t>
      </w:r>
    </w:p>
    <w:p>
      <w:pPr>
        <w:spacing w:line="56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⑤财务公司向管辖银保监会（局）提交的备案证明材料复印件、财务公司所属集团公司出具的风险连带责任承诺的相关证明材料。</w:t>
      </w:r>
    </w:p>
    <w:p>
      <w:pPr>
        <w:spacing w:line="560" w:lineRule="exact"/>
        <w:ind w:firstLine="640" w:firstLineChars="20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1.申报材料准备</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（1）申报合作机构</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合作机构提供第</w:t>
      </w:r>
      <w:r>
        <w:rPr>
          <w:rFonts w:hint="eastAsia" w:ascii="仿宋" w:hAnsi="仿宋" w:eastAsia="仿宋" w:cs="仿宋"/>
          <w:color w:val="000000"/>
          <w:sz w:val="32"/>
          <w:szCs w:val="32"/>
          <w:lang w:bidi="ar"/>
        </w:rPr>
        <w:t>①②③、④</w:t>
      </w:r>
      <w:r>
        <w:rPr>
          <w:rFonts w:hint="eastAsia" w:ascii="仿宋" w:hAnsi="仿宋" w:eastAsia="仿宋" w:cs="仿宋"/>
          <w:sz w:val="32"/>
          <w:szCs w:val="32"/>
          <w:lang w:bidi="ar"/>
        </w:rPr>
        <w:t>（若有）、⑤（若有）项材料，在第</w:t>
      </w:r>
      <w:r>
        <w:rPr>
          <w:rFonts w:hint="eastAsia" w:ascii="仿宋" w:hAnsi="仿宋" w:eastAsia="仿宋" w:cs="仿宋"/>
          <w:color w:val="000000"/>
          <w:sz w:val="32"/>
          <w:szCs w:val="32"/>
          <w:lang w:bidi="ar"/>
        </w:rPr>
        <w:t>①②④</w:t>
      </w:r>
      <w:r>
        <w:rPr>
          <w:rFonts w:hint="eastAsia" w:ascii="仿宋" w:hAnsi="仿宋" w:eastAsia="仿宋" w:cs="仿宋"/>
          <w:sz w:val="32"/>
          <w:szCs w:val="32"/>
          <w:lang w:bidi="ar"/>
        </w:rPr>
        <w:t>⑤的落款处或正面加盖单位公章，上述材料为多页的，在骑缝处加盖单位公章，第</w:t>
      </w:r>
      <w:r>
        <w:rPr>
          <w:rFonts w:hint="eastAsia" w:ascii="仿宋" w:hAnsi="仿宋" w:eastAsia="仿宋" w:cs="仿宋"/>
          <w:color w:val="000000"/>
          <w:sz w:val="32"/>
          <w:szCs w:val="32"/>
          <w:lang w:bidi="ar"/>
        </w:rPr>
        <w:t>③</w:t>
      </w:r>
      <w:r>
        <w:rPr>
          <w:rFonts w:hint="eastAsia" w:ascii="仿宋" w:hAnsi="仿宋" w:eastAsia="仿宋" w:cs="仿宋"/>
          <w:sz w:val="32"/>
          <w:szCs w:val="32"/>
          <w:lang w:bidi="ar"/>
        </w:rPr>
        <w:t>项材料要求参考“新增接入B2B平台”章节内容。</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（2）新增接入B2B平台</w:t>
      </w:r>
    </w:p>
    <w:p>
      <w:pPr>
        <w:pStyle w:val="16"/>
        <w:spacing w:beforeAutospacing="0" w:afterAutospacing="0" w:line="560" w:lineRule="exact"/>
        <w:ind w:firstLine="595" w:firstLineChars="186"/>
        <w:jc w:val="both"/>
        <w:rPr>
          <w:rFonts w:ascii="仿宋" w:hAnsi="仿宋" w:eastAsia="仿宋"/>
          <w:kern w:val="2"/>
          <w:sz w:val="32"/>
          <w:szCs w:val="32"/>
        </w:rPr>
      </w:pPr>
      <w:r>
        <w:rPr>
          <w:rFonts w:hint="eastAsia" w:ascii="仿宋" w:hAnsi="仿宋" w:eastAsia="仿宋" w:cs="仿宋"/>
          <w:kern w:val="2"/>
          <w:sz w:val="32"/>
          <w:szCs w:val="32"/>
          <w:lang w:bidi="ar"/>
        </w:rPr>
        <w:t>合作机构和</w:t>
      </w:r>
      <w:r>
        <w:rPr>
          <w:rFonts w:hint="eastAsia" w:ascii="仿宋" w:hAnsi="仿宋" w:eastAsia="仿宋"/>
          <w:kern w:val="2"/>
          <w:sz w:val="32"/>
          <w:szCs w:val="32"/>
          <w:lang w:bidi="ar"/>
        </w:rPr>
        <w:t>B2B平台共同在第</w:t>
      </w:r>
      <w:r>
        <w:rPr>
          <w:rFonts w:hint="eastAsia" w:ascii="仿宋" w:hAnsi="仿宋" w:eastAsia="仿宋" w:cs="仿宋"/>
          <w:color w:val="000000"/>
          <w:kern w:val="2"/>
          <w:sz w:val="32"/>
          <w:szCs w:val="32"/>
          <w:lang w:bidi="ar"/>
        </w:rPr>
        <w:t>③</w:t>
      </w:r>
      <w:r>
        <w:rPr>
          <w:rFonts w:hint="eastAsia" w:ascii="仿宋" w:hAnsi="仿宋" w:eastAsia="仿宋" w:cs="仿宋"/>
          <w:kern w:val="2"/>
          <w:sz w:val="32"/>
          <w:szCs w:val="32"/>
          <w:lang w:bidi="ar"/>
        </w:rPr>
        <w:t>项的材料的落款处或正面加盖单位公章，上述材料为多页的，在骑缝处加盖单位公章。</w:t>
      </w:r>
    </w:p>
    <w:p>
      <w:pPr>
        <w:pStyle w:val="16"/>
        <w:spacing w:beforeAutospacing="0" w:afterAutospacing="0" w:line="560" w:lineRule="exact"/>
        <w:ind w:firstLine="595" w:firstLineChars="186"/>
        <w:jc w:val="both"/>
        <w:rPr>
          <w:rFonts w:ascii="仿宋" w:hAnsi="仿宋" w:eastAsia="仿宋"/>
          <w:kern w:val="2"/>
          <w:sz w:val="32"/>
          <w:szCs w:val="32"/>
        </w:rPr>
      </w:pPr>
      <w:r>
        <w:rPr>
          <w:rFonts w:hint="eastAsia" w:ascii="仿宋" w:hAnsi="仿宋" w:eastAsia="仿宋" w:cs="仿宋"/>
          <w:kern w:val="2"/>
          <w:sz w:val="32"/>
          <w:szCs w:val="32"/>
          <w:lang w:bidi="ar"/>
        </w:rPr>
        <w:t>合作机构已提供第</w:t>
      </w:r>
      <w:r>
        <w:rPr>
          <w:rFonts w:hint="eastAsia" w:ascii="仿宋" w:hAnsi="仿宋" w:eastAsia="仿宋" w:cs="仿宋"/>
          <w:color w:val="000000"/>
          <w:kern w:val="2"/>
          <w:sz w:val="32"/>
          <w:szCs w:val="32"/>
          <w:lang w:bidi="ar"/>
        </w:rPr>
        <w:t>④</w:t>
      </w:r>
      <w:r>
        <w:rPr>
          <w:rFonts w:hint="eastAsia" w:ascii="仿宋" w:hAnsi="仿宋" w:eastAsia="仿宋" w:cs="仿宋"/>
          <w:kern w:val="2"/>
          <w:sz w:val="32"/>
          <w:szCs w:val="32"/>
          <w:lang w:bidi="ar"/>
        </w:rPr>
        <w:t>项材料的，申报材料可以加盖授权分行的单位公章。首次办理接入的合作机构，仍使用合作机构总部公章。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（3）“票付通”开户行</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sz w:val="32"/>
          <w:szCs w:val="32"/>
          <w:lang w:bidi="ar"/>
        </w:rPr>
        <w:t>金融机构在第</w:t>
      </w:r>
      <w:r>
        <w:rPr>
          <w:rFonts w:hint="eastAsia" w:ascii="仿宋" w:hAnsi="仿宋" w:eastAsia="仿宋" w:cs="仿宋"/>
          <w:color w:val="000000"/>
          <w:sz w:val="32"/>
          <w:szCs w:val="32"/>
          <w:lang w:bidi="ar"/>
        </w:rPr>
        <w:t>①项材料的落款处加盖单位公章。</w:t>
      </w:r>
    </w:p>
    <w:p>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bidi="ar"/>
        </w:rPr>
        <w:t>以上材料准备完成后寄送票交所。</w:t>
      </w:r>
      <w:r>
        <w:rPr>
          <w:rFonts w:hint="eastAsia" w:ascii="仿宋" w:hAnsi="仿宋" w:eastAsia="仿宋" w:cs="仿宋"/>
          <w:sz w:val="32"/>
          <w:szCs w:val="32"/>
          <w:lang w:bidi="ar"/>
        </w:rPr>
        <w:t>新增接入B2B平台的材料由合作机构提交。</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上海票据交易所：上海市黄浦区半淞园路377号A区，上海票据交易所清算部，021-23139999。</w:t>
      </w:r>
    </w:p>
    <w:p>
      <w:pPr>
        <w:spacing w:line="560" w:lineRule="exact"/>
        <w:ind w:firstLine="640" w:firstLineChars="200"/>
        <w:rPr>
          <w:rFonts w:ascii="仿宋" w:hAnsi="仿宋" w:eastAsia="仿宋" w:cs="Times New Roman"/>
          <w:sz w:val="32"/>
          <w:szCs w:val="32"/>
        </w:rPr>
      </w:pPr>
      <w:r>
        <w:rPr>
          <w:rFonts w:hint="eastAsia" w:ascii="仿宋" w:hAnsi="仿宋" w:eastAsia="仿宋" w:cs="仿宋"/>
          <w:sz w:val="32"/>
          <w:szCs w:val="32"/>
          <w:lang w:bidi="ar"/>
        </w:rPr>
        <w:t>2.票交所收到申报材料后，于20个工作日内向联系人邮箱反馈审核意见，并附上合作协议模板等“票付通”材料。</w:t>
      </w:r>
    </w:p>
    <w:p>
      <w:pPr>
        <w:spacing w:line="590" w:lineRule="exact"/>
        <w:ind w:firstLine="640" w:firstLineChars="200"/>
        <w:rPr>
          <w:rFonts w:ascii="仿宋" w:hAnsi="仿宋" w:eastAsia="仿宋" w:cs="仿宋"/>
          <w:sz w:val="32"/>
          <w:szCs w:val="32"/>
          <w:lang w:bidi="ar"/>
        </w:rPr>
      </w:pPr>
      <w:r>
        <w:rPr>
          <w:rFonts w:ascii="仿宋" w:hAnsi="仿宋" w:eastAsia="仿宋" w:cs="仿宋"/>
          <w:sz w:val="32"/>
          <w:szCs w:val="32"/>
          <w:lang w:bidi="ar"/>
        </w:rPr>
        <w:t>3.合作机构或</w:t>
      </w:r>
      <w:r>
        <w:rPr>
          <w:rFonts w:hint="eastAsia" w:ascii="仿宋" w:hAnsi="仿宋" w:eastAsia="仿宋" w:cs="仿宋"/>
          <w:sz w:val="32"/>
          <w:szCs w:val="32"/>
          <w:lang w:bidi="ar"/>
        </w:rPr>
        <w:t>“</w:t>
      </w:r>
      <w:r>
        <w:rPr>
          <w:rFonts w:ascii="仿宋" w:hAnsi="仿宋" w:eastAsia="仿宋" w:cs="仿宋"/>
          <w:sz w:val="32"/>
          <w:szCs w:val="32"/>
          <w:lang w:bidi="ar"/>
        </w:rPr>
        <w:t>票付通</w:t>
      </w:r>
      <w:r>
        <w:rPr>
          <w:rFonts w:hint="eastAsia" w:ascii="仿宋" w:hAnsi="仿宋" w:eastAsia="仿宋" w:cs="仿宋"/>
          <w:sz w:val="32"/>
          <w:szCs w:val="32"/>
          <w:lang w:bidi="ar"/>
        </w:rPr>
        <w:t>”</w:t>
      </w:r>
      <w:r>
        <w:rPr>
          <w:rFonts w:ascii="仿宋" w:hAnsi="仿宋" w:eastAsia="仿宋" w:cs="仿宋"/>
          <w:sz w:val="32"/>
          <w:szCs w:val="32"/>
          <w:lang w:bidi="ar"/>
        </w:rPr>
        <w:t>开户行</w:t>
      </w:r>
      <w:r>
        <w:rPr>
          <w:rFonts w:hint="eastAsia" w:ascii="仿宋" w:hAnsi="仿宋" w:eastAsia="仿宋" w:cs="仿宋"/>
          <w:sz w:val="32"/>
          <w:szCs w:val="32"/>
          <w:lang w:bidi="ar"/>
        </w:rPr>
        <w:t>按《</w:t>
      </w:r>
      <w:r>
        <w:rPr>
          <w:rFonts w:hint="eastAsia" w:ascii="仿宋" w:hAnsi="仿宋" w:eastAsia="仿宋" w:cs="仿宋"/>
          <w:color w:val="auto"/>
          <w:sz w:val="32"/>
          <w:szCs w:val="32"/>
          <w:highlight w:val="none"/>
          <w:lang w:bidi="ar"/>
        </w:rPr>
        <w:t>上海票据交易所技术接入指引</w:t>
      </w:r>
      <w:r>
        <w:rPr>
          <w:rFonts w:hint="eastAsia" w:ascii="仿宋" w:hAnsi="仿宋" w:eastAsia="仿宋" w:cs="仿宋"/>
          <w:sz w:val="32"/>
          <w:szCs w:val="32"/>
          <w:lang w:bidi="ar"/>
        </w:rPr>
        <w:t>》办理系统对接工作</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并提交《“票付通”业务上线申报表》（附件11）</w:t>
      </w:r>
      <w:r>
        <w:rPr>
          <w:rFonts w:hint="eastAsia" w:ascii="仿宋" w:hAnsi="仿宋" w:eastAsia="仿宋" w:cs="仿宋"/>
          <w:sz w:val="32"/>
          <w:szCs w:val="32"/>
          <w:lang w:bidi="ar"/>
        </w:rPr>
        <w:t>。</w:t>
      </w:r>
    </w:p>
    <w:p>
      <w:pPr>
        <w:spacing w:line="590" w:lineRule="exact"/>
        <w:ind w:firstLine="640" w:firstLineChars="200"/>
        <w:rPr>
          <w:rFonts w:ascii="仿宋" w:hAnsi="仿宋" w:eastAsia="仿宋" w:cs="仿宋"/>
          <w:sz w:val="32"/>
          <w:szCs w:val="32"/>
          <w:lang w:bidi="ar"/>
        </w:rPr>
      </w:pPr>
      <w:r>
        <w:rPr>
          <w:rFonts w:ascii="仿宋" w:hAnsi="仿宋" w:eastAsia="仿宋" w:cs="仿宋"/>
          <w:sz w:val="32"/>
          <w:szCs w:val="32"/>
          <w:lang w:bidi="ar"/>
        </w:rPr>
        <w:t>4.票交所与合作机构签署合作协议，为合作机构、B2B平台以及</w:t>
      </w:r>
      <w:r>
        <w:rPr>
          <w:rFonts w:hint="eastAsia" w:ascii="仿宋" w:hAnsi="仿宋" w:eastAsia="仿宋" w:cs="仿宋"/>
          <w:sz w:val="32"/>
          <w:szCs w:val="32"/>
          <w:lang w:bidi="ar"/>
        </w:rPr>
        <w:t>“</w:t>
      </w:r>
      <w:r>
        <w:rPr>
          <w:rFonts w:ascii="仿宋" w:hAnsi="仿宋" w:eastAsia="仿宋" w:cs="仿宋"/>
          <w:sz w:val="32"/>
          <w:szCs w:val="32"/>
          <w:lang w:bidi="ar"/>
        </w:rPr>
        <w:t>票付通</w:t>
      </w:r>
      <w:r>
        <w:rPr>
          <w:rFonts w:hint="eastAsia" w:ascii="仿宋" w:hAnsi="仿宋" w:eastAsia="仿宋" w:cs="仿宋"/>
          <w:sz w:val="32"/>
          <w:szCs w:val="32"/>
          <w:lang w:bidi="ar"/>
        </w:rPr>
        <w:t>”</w:t>
      </w:r>
      <w:r>
        <w:rPr>
          <w:rFonts w:ascii="仿宋" w:hAnsi="仿宋" w:eastAsia="仿宋" w:cs="仿宋"/>
          <w:sz w:val="32"/>
          <w:szCs w:val="32"/>
          <w:lang w:bidi="ar"/>
        </w:rPr>
        <w:t>开户行登记相关信息、绑定合作关系以及开通业务权限等操作。</w:t>
      </w:r>
    </w:p>
    <w:p>
      <w:pPr>
        <w:spacing w:line="590" w:lineRule="exact"/>
        <w:ind w:firstLine="640" w:firstLineChars="200"/>
        <w:rPr>
          <w:rFonts w:ascii="仿宋" w:hAnsi="仿宋" w:eastAsia="仿宋" w:cs="仿宋"/>
          <w:sz w:val="32"/>
          <w:szCs w:val="32"/>
          <w:lang w:bidi="ar"/>
        </w:rPr>
      </w:pPr>
    </w:p>
    <w:p>
      <w:pPr>
        <w:pStyle w:val="5"/>
        <w:numPr>
          <w:ilvl w:val="255"/>
          <w:numId w:val="0"/>
        </w:numPr>
        <w:tabs>
          <w:tab w:val="clear" w:pos="1224"/>
        </w:tabs>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1.4.2.2变更</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[变更条件]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已开通“票付通”业务权限的合作机构和“票付通”开户行发生信息变更或已绑定的B2B平台发生信息变更的，应及时向票交所提出申请：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1.变更合作机构回跳地址；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2.变更“票付通”开户行企业网银地址；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3.变更B2B平台运营主体名称、统一社会信用代码、平台名称、平台网站地址等；</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4.票交所允许的其他变更事项。</w:t>
      </w:r>
    </w:p>
    <w:p>
      <w:pPr>
        <w:spacing w:line="590" w:lineRule="exact"/>
        <w:ind w:firstLine="640" w:firstLineChars="20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[申请材料清单]</w:t>
      </w:r>
    </w:p>
    <w:p>
      <w:pPr>
        <w:spacing w:line="590" w:lineRule="exact"/>
        <w:ind w:firstLine="640" w:firstLineChars="200"/>
        <w:rPr>
          <w:rFonts w:ascii="仿宋_GB2312" w:hAnsi="Calibri"/>
          <w:color w:val="000000"/>
          <w:sz w:val="32"/>
        </w:rPr>
      </w:pPr>
      <w:r>
        <w:rPr>
          <w:rFonts w:hint="eastAsia" w:ascii="仿宋" w:hAnsi="仿宋" w:eastAsia="仿宋" w:cs="仿宋"/>
          <w:color w:val="000000"/>
          <w:sz w:val="32"/>
          <w:szCs w:val="32"/>
          <w:lang w:bidi="ar"/>
        </w:rPr>
        <w:t>①</w:t>
      </w:r>
      <w:r>
        <w:rPr>
          <w:rFonts w:hint="eastAsia" w:ascii="仿宋" w:hAnsi="仿宋" w:eastAsia="仿宋" w:cs="仿宋"/>
          <w:sz w:val="32"/>
          <w:szCs w:val="32"/>
          <w:lang w:bidi="ar"/>
        </w:rPr>
        <w:t>《上海票据交易所参与者变更申请表》</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附件8</w:t>
      </w:r>
      <w:r>
        <w:rPr>
          <w:rFonts w:hint="eastAsia" w:ascii="仿宋" w:hAnsi="仿宋" w:eastAsia="仿宋" w:cs="仿宋"/>
          <w:sz w:val="32"/>
          <w:szCs w:val="32"/>
          <w:lang w:eastAsia="zh-CN" w:bidi="ar"/>
        </w:rPr>
        <w:t>）</w:t>
      </w:r>
      <w:r>
        <w:rPr>
          <w:rFonts w:ascii="仿宋_GB2312" w:hAnsi="Calibri"/>
          <w:color w:val="000000"/>
          <w:sz w:val="32"/>
        </w:rPr>
        <w:t>；</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color w:val="000000"/>
          <w:sz w:val="32"/>
          <w:szCs w:val="32"/>
          <w:lang w:bidi="ar"/>
        </w:rPr>
        <w:t>②</w:t>
      </w:r>
      <w:r>
        <w:rPr>
          <w:rFonts w:hint="eastAsia" w:ascii="仿宋" w:hAnsi="仿宋" w:eastAsia="仿宋" w:cs="仿宋"/>
          <w:sz w:val="32"/>
          <w:szCs w:val="32"/>
          <w:lang w:bidi="ar"/>
        </w:rPr>
        <w:t>涉及B2B平台信息变更的，附上B2B平台说明材料。</w:t>
      </w:r>
    </w:p>
    <w:p>
      <w:pPr>
        <w:spacing w:line="590" w:lineRule="exact"/>
        <w:ind w:firstLine="640" w:firstLineChars="20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1.合作机构在第</w:t>
      </w:r>
      <w:r>
        <w:rPr>
          <w:rFonts w:hint="eastAsia" w:ascii="仿宋" w:hAnsi="仿宋" w:eastAsia="仿宋" w:cs="仿宋"/>
          <w:color w:val="000000"/>
          <w:sz w:val="32"/>
          <w:szCs w:val="32"/>
          <w:lang w:bidi="ar"/>
        </w:rPr>
        <w:t>①</w:t>
      </w:r>
      <w:r>
        <w:rPr>
          <w:rFonts w:hint="eastAsia" w:ascii="仿宋" w:hAnsi="仿宋" w:eastAsia="仿宋" w:cs="仿宋"/>
          <w:sz w:val="32"/>
          <w:szCs w:val="32"/>
          <w:lang w:bidi="ar"/>
        </w:rPr>
        <w:t>项材料的落款处加盖单位公章；B2B平台在第</w:t>
      </w:r>
      <w:r>
        <w:rPr>
          <w:rFonts w:hint="eastAsia" w:ascii="仿宋" w:hAnsi="仿宋" w:eastAsia="仿宋" w:cs="仿宋"/>
          <w:color w:val="000000"/>
          <w:sz w:val="32"/>
          <w:szCs w:val="32"/>
          <w:lang w:bidi="ar"/>
        </w:rPr>
        <w:t>②</w:t>
      </w:r>
      <w:r>
        <w:rPr>
          <w:rFonts w:hint="eastAsia" w:ascii="仿宋" w:hAnsi="仿宋" w:eastAsia="仿宋" w:cs="仿宋"/>
          <w:sz w:val="32"/>
          <w:szCs w:val="32"/>
          <w:lang w:bidi="ar"/>
        </w:rPr>
        <w:t>项材料的落款处加盖单位公章。材料寄送至票交所。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上海票据交易所：上海市黄浦区半淞园路377号A区，上海票据交易所清算部，021-23139999。</w:t>
      </w:r>
    </w:p>
    <w:p>
      <w:pPr>
        <w:spacing w:line="590" w:lineRule="exact"/>
        <w:ind w:firstLine="640" w:firstLineChars="200"/>
        <w:rPr>
          <w:rFonts w:ascii="仿宋" w:hAnsi="仿宋" w:eastAsia="仿宋" w:cs="仿宋"/>
          <w:sz w:val="32"/>
          <w:szCs w:val="32"/>
          <w:lang w:bidi="ar"/>
        </w:rPr>
      </w:pPr>
      <w:r>
        <w:rPr>
          <w:rFonts w:ascii="仿宋_GB2312" w:hAnsi="Calibri"/>
          <w:color w:val="000000"/>
          <w:sz w:val="32"/>
        </w:rPr>
        <w:t>2.</w:t>
      </w:r>
      <w:r>
        <w:rPr>
          <w:rFonts w:hint="eastAsia" w:ascii="仿宋" w:hAnsi="仿宋" w:eastAsia="仿宋" w:cs="仿宋"/>
          <w:sz w:val="32"/>
          <w:szCs w:val="32"/>
          <w:lang w:bidi="ar"/>
        </w:rPr>
        <w:t>票交所收到上述申报材料并审核无误后，在20个工作日内予以处理并邮件通知机构，</w:t>
      </w:r>
      <w:r>
        <w:rPr>
          <w:rFonts w:ascii="仿宋" w:hAnsi="仿宋" w:eastAsia="仿宋" w:cs="仿宋"/>
          <w:sz w:val="32"/>
          <w:szCs w:val="32"/>
          <w:lang w:bidi="ar"/>
        </w:rPr>
        <w:t>并在系统中完成相关操作。</w:t>
      </w:r>
    </w:p>
    <w:p>
      <w:pPr>
        <w:spacing w:line="590" w:lineRule="exact"/>
        <w:ind w:firstLine="640" w:firstLineChars="200"/>
        <w:rPr>
          <w:rFonts w:ascii="仿宋" w:hAnsi="仿宋" w:eastAsia="仿宋" w:cs="仿宋"/>
          <w:sz w:val="32"/>
          <w:szCs w:val="32"/>
          <w:lang w:bidi="ar"/>
        </w:rPr>
      </w:pPr>
    </w:p>
    <w:p>
      <w:pPr>
        <w:pStyle w:val="5"/>
        <w:numPr>
          <w:ilvl w:val="255"/>
          <w:numId w:val="0"/>
        </w:numPr>
        <w:spacing w:before="0" w:after="0" w:line="590" w:lineRule="exact"/>
        <w:ind w:firstLine="643" w:firstLineChars="200"/>
        <w:rPr>
          <w:rFonts w:ascii="仿宋" w:hAnsi="仿宋" w:eastAsia="仿宋" w:cs="仿宋"/>
          <w:sz w:val="32"/>
          <w:szCs w:val="32"/>
        </w:rPr>
      </w:pPr>
      <w:r>
        <w:rPr>
          <w:rFonts w:hint="eastAsia" w:ascii="仿宋" w:hAnsi="仿宋" w:eastAsia="仿宋" w:cs="仿宋"/>
          <w:sz w:val="32"/>
          <w:szCs w:val="32"/>
        </w:rPr>
        <w:t>1.4.2.3退出</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[退出条件]</w:t>
      </w:r>
    </w:p>
    <w:p>
      <w:pPr>
        <w:spacing w:line="56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合作机构与B2B平台解除合作的，应当向票交所申报办理相关手续。合作机构提交申报前，确保平台企业相关业务已办理完结，且不得通过本机构办理新增业务。</w:t>
      </w:r>
    </w:p>
    <w:p>
      <w:pPr>
        <w:spacing w:line="560" w:lineRule="exact"/>
        <w:ind w:firstLine="640" w:firstLineChars="200"/>
        <w:rPr>
          <w:rFonts w:ascii="仿宋" w:hAnsi="仿宋" w:eastAsia="仿宋" w:cs="仿宋"/>
          <w:sz w:val="32"/>
          <w:szCs w:val="32"/>
          <w:lang w:bidi="ar"/>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[申请材料清单]</w:t>
      </w:r>
    </w:p>
    <w:p>
      <w:pPr>
        <w:spacing w:line="590" w:lineRule="exact"/>
        <w:ind w:firstLine="640" w:firstLineChars="200"/>
        <w:rPr>
          <w:rFonts w:ascii="仿宋_GB2312" w:hAnsi="Calibri"/>
          <w:color w:val="000000"/>
          <w:sz w:val="32"/>
        </w:rPr>
      </w:pPr>
      <w:r>
        <w:rPr>
          <w:rFonts w:hint="eastAsia" w:ascii="仿宋" w:hAnsi="仿宋" w:eastAsia="仿宋" w:cs="仿宋"/>
          <w:sz w:val="32"/>
          <w:szCs w:val="32"/>
          <w:lang w:bidi="ar"/>
        </w:rPr>
        <w:t>《上海票据交易所参与者退出申请表》</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附件9</w:t>
      </w:r>
      <w:r>
        <w:rPr>
          <w:rFonts w:hint="eastAsia" w:ascii="仿宋" w:hAnsi="仿宋" w:eastAsia="仿宋" w:cs="仿宋"/>
          <w:sz w:val="32"/>
          <w:szCs w:val="32"/>
          <w:lang w:eastAsia="zh-CN" w:bidi="ar"/>
        </w:rPr>
        <w:t>）。</w:t>
      </w:r>
    </w:p>
    <w:p>
      <w:pPr>
        <w:spacing w:line="590" w:lineRule="exact"/>
        <w:ind w:firstLine="640" w:firstLineChars="200"/>
        <w:rPr>
          <w:rFonts w:ascii="仿宋_GB2312" w:hAnsi="Calibri"/>
          <w:color w:val="000000"/>
          <w:sz w:val="32"/>
        </w:rPr>
      </w:pP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[申请办理流程]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1.合作机构和B2B平台共同在申</w:t>
      </w:r>
      <w:r>
        <w:rPr>
          <w:rFonts w:hint="eastAsia" w:ascii="仿宋" w:hAnsi="仿宋" w:eastAsia="仿宋" w:cs="仿宋"/>
          <w:sz w:val="32"/>
          <w:szCs w:val="32"/>
          <w:lang w:eastAsia="zh-CN" w:bidi="ar"/>
        </w:rPr>
        <w:t>请</w:t>
      </w:r>
      <w:r>
        <w:rPr>
          <w:rFonts w:hint="eastAsia" w:ascii="仿宋" w:hAnsi="仿宋" w:eastAsia="仿宋" w:cs="仿宋"/>
          <w:sz w:val="32"/>
          <w:szCs w:val="32"/>
          <w:lang w:bidi="ar"/>
        </w:rPr>
        <w:t>表的落款处加盖单位公章，材料寄送至票交所。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【邮寄地址】</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上海票据交易所：上海市黄浦区半淞园路377号A区，上海票据交易所清算部，021-23139999。</w:t>
      </w:r>
    </w:p>
    <w:p>
      <w:pPr>
        <w:spacing w:line="590" w:lineRule="exact"/>
        <w:ind w:firstLine="640" w:firstLineChars="200"/>
        <w:rPr>
          <w:rFonts w:ascii="仿宋" w:hAnsi="仿宋" w:eastAsia="仿宋" w:cs="仿宋"/>
          <w:b/>
          <w:bCs/>
          <w:sz w:val="32"/>
          <w:szCs w:val="32"/>
        </w:rPr>
      </w:pPr>
      <w:r>
        <w:rPr>
          <w:rFonts w:hint="eastAsia" w:ascii="仿宋" w:hAnsi="仿宋" w:eastAsia="仿宋" w:cs="仿宋"/>
          <w:sz w:val="32"/>
          <w:szCs w:val="32"/>
          <w:lang w:bidi="ar"/>
        </w:rPr>
        <w:t>2.票交所收到上述申报材料并审核无误后，在20个工作日内予以处理并邮件通知机构，</w:t>
      </w:r>
      <w:r>
        <w:rPr>
          <w:rFonts w:ascii="仿宋" w:hAnsi="仿宋" w:eastAsia="仿宋" w:cs="仿宋"/>
          <w:sz w:val="32"/>
          <w:szCs w:val="32"/>
          <w:lang w:bidi="ar"/>
        </w:rPr>
        <w:t>并在系统中完成相关操作。</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1"/>
        <w:rPr>
          <w:rFonts w:ascii="仿宋" w:hAnsi="仿宋" w:eastAsia="仿宋" w:cs="仿宋"/>
          <w:b/>
          <w:bCs/>
          <w:sz w:val="32"/>
          <w:szCs w:val="32"/>
        </w:rPr>
      </w:pPr>
      <w:bookmarkStart w:id="290" w:name="_Toc4183"/>
      <w:bookmarkStart w:id="291" w:name="_Toc2042067408"/>
      <w:bookmarkStart w:id="292" w:name="_Toc29178"/>
      <w:bookmarkStart w:id="293" w:name="_Toc15725"/>
      <w:bookmarkStart w:id="294" w:name="_Toc19467"/>
      <w:bookmarkStart w:id="295" w:name="_Toc18242"/>
      <w:bookmarkStart w:id="296" w:name="_Toc484"/>
      <w:bookmarkStart w:id="297" w:name="_Toc6798"/>
      <w:bookmarkStart w:id="298" w:name="_Toc17776"/>
      <w:bookmarkStart w:id="299" w:name="_Toc23441"/>
      <w:r>
        <w:rPr>
          <w:rFonts w:hint="eastAsia" w:ascii="仿宋" w:hAnsi="仿宋" w:eastAsia="仿宋" w:cs="仿宋"/>
          <w:b/>
          <w:bCs/>
          <w:sz w:val="32"/>
          <w:szCs w:val="32"/>
        </w:rPr>
        <w:t>1.5 业务参与者的账户</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业务参与者开展票据业务，应具备资金账户和票据托管账户</w:t>
      </w:r>
      <w:r>
        <w:rPr>
          <w:rFonts w:ascii="仿宋" w:hAnsi="仿宋" w:eastAsia="仿宋" w:cs="仿宋"/>
          <w:sz w:val="32"/>
          <w:szCs w:val="32"/>
        </w:rPr>
        <w:t>。</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2"/>
        <w:rPr>
          <w:rFonts w:ascii="仿宋" w:hAnsi="仿宋" w:eastAsia="仿宋" w:cs="仿宋"/>
          <w:b/>
          <w:bCs/>
          <w:sz w:val="32"/>
          <w:szCs w:val="32"/>
        </w:rPr>
      </w:pPr>
      <w:bookmarkStart w:id="300" w:name="_Toc19211"/>
      <w:bookmarkStart w:id="301" w:name="_Toc22458"/>
      <w:bookmarkStart w:id="302" w:name="_Toc11749"/>
      <w:bookmarkStart w:id="303" w:name="_Toc6449"/>
      <w:bookmarkStart w:id="304" w:name="_Toc16653"/>
      <w:bookmarkStart w:id="305" w:name="_Toc3249"/>
      <w:bookmarkStart w:id="306" w:name="_Toc466414610"/>
      <w:bookmarkStart w:id="307" w:name="_Toc9038"/>
      <w:bookmarkStart w:id="308" w:name="_Toc20600"/>
      <w:bookmarkStart w:id="309" w:name="_Toc24434"/>
      <w:bookmarkStart w:id="310" w:name="_Toc2819"/>
      <w:bookmarkStart w:id="311" w:name="_Toc31826"/>
      <w:bookmarkStart w:id="312" w:name="_Toc1222"/>
      <w:bookmarkStart w:id="313" w:name="_Toc17288"/>
      <w:bookmarkStart w:id="314" w:name="_Toc30543"/>
      <w:bookmarkStart w:id="315" w:name="_Toc23196"/>
      <w:bookmarkStart w:id="316" w:name="_Toc12889"/>
      <w:bookmarkStart w:id="317" w:name="_Toc13226"/>
      <w:bookmarkStart w:id="318" w:name="_Toc30706"/>
      <w:bookmarkStart w:id="319" w:name="_Toc13898"/>
      <w:bookmarkStart w:id="320" w:name="_Toc12766"/>
      <w:bookmarkStart w:id="321" w:name="_Toc21915"/>
      <w:bookmarkStart w:id="322" w:name="_Toc22517"/>
      <w:bookmarkStart w:id="323" w:name="_Toc1426"/>
      <w:r>
        <w:rPr>
          <w:rFonts w:hint="eastAsia" w:ascii="仿宋" w:hAnsi="仿宋" w:eastAsia="仿宋" w:cs="仿宋"/>
          <w:b/>
          <w:bCs/>
          <w:sz w:val="32"/>
          <w:szCs w:val="32"/>
        </w:rPr>
        <w:t xml:space="preserve">1.5.1 </w:t>
      </w:r>
      <w:bookmarkEnd w:id="300"/>
      <w:bookmarkEnd w:id="301"/>
      <w:r>
        <w:rPr>
          <w:rFonts w:hint="eastAsia" w:ascii="仿宋" w:hAnsi="仿宋" w:eastAsia="仿宋" w:cs="仿宋"/>
          <w:b/>
          <w:bCs/>
          <w:sz w:val="32"/>
          <w:szCs w:val="32"/>
        </w:rPr>
        <w:t>资金账户</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numPr>
          <w:ilvl w:val="255"/>
          <w:numId w:val="0"/>
        </w:num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1.直接参与者的资金账户</w:t>
      </w:r>
    </w:p>
    <w:p>
      <w:pPr>
        <w:numPr>
          <w:ilvl w:val="255"/>
          <w:numId w:val="0"/>
        </w:numPr>
        <w:tabs>
          <w:tab w:val="left" w:pos="2696"/>
        </w:tabs>
        <w:spacing w:line="590" w:lineRule="exact"/>
        <w:ind w:firstLine="640" w:firstLineChars="200"/>
        <w:rPr>
          <w:rFonts w:ascii="仿宋" w:hAnsi="仿宋" w:eastAsia="仿宋" w:cs="仿宋"/>
          <w:bCs/>
          <w:sz w:val="32"/>
          <w:szCs w:val="32"/>
          <w:lang w:bidi="ar"/>
        </w:rPr>
      </w:pPr>
      <w:r>
        <w:rPr>
          <w:rFonts w:hint="eastAsia" w:ascii="仿宋" w:hAnsi="仿宋" w:eastAsia="仿宋" w:cs="仿宋"/>
          <w:sz w:val="32"/>
          <w:szCs w:val="32"/>
        </w:rPr>
        <w:t>金融机构、非法人产品</w:t>
      </w:r>
      <w:r>
        <w:rPr>
          <w:rFonts w:hint="eastAsia" w:ascii="仿宋" w:hAnsi="仿宋" w:eastAsia="仿宋"/>
          <w:sz w:val="32"/>
          <w:szCs w:val="32"/>
        </w:rPr>
        <w:t>指定用于办理</w:t>
      </w:r>
      <w:r>
        <w:rPr>
          <w:rFonts w:ascii="仿宋" w:hAnsi="仿宋" w:eastAsia="仿宋"/>
          <w:sz w:val="32"/>
          <w:szCs w:val="32"/>
        </w:rPr>
        <w:t>票据业务</w:t>
      </w:r>
      <w:r>
        <w:rPr>
          <w:rFonts w:hint="eastAsia" w:ascii="仿宋" w:hAnsi="仿宋" w:eastAsia="仿宋"/>
          <w:sz w:val="32"/>
          <w:szCs w:val="32"/>
        </w:rPr>
        <w:t>资金</w:t>
      </w:r>
      <w:r>
        <w:rPr>
          <w:rFonts w:ascii="仿宋" w:hAnsi="仿宋" w:eastAsia="仿宋"/>
          <w:sz w:val="32"/>
          <w:szCs w:val="32"/>
        </w:rPr>
        <w:t>结算</w:t>
      </w:r>
      <w:r>
        <w:rPr>
          <w:rFonts w:hint="eastAsia" w:ascii="仿宋" w:hAnsi="仿宋" w:eastAsia="仿宋"/>
          <w:sz w:val="32"/>
          <w:szCs w:val="32"/>
        </w:rPr>
        <w:t>的账户，包括人行清算账户和会员资金账户。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人行清算账户是指支付系统的直接参与者在中国人民银行开设的用于办理资金清算的存款账户。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会员资金账户是指金融机构、</w:t>
      </w:r>
      <w:r>
        <w:rPr>
          <w:rFonts w:hint="eastAsia" w:ascii="仿宋" w:hAnsi="仿宋" w:eastAsia="仿宋" w:cs="仿宋"/>
          <w:color w:val="000000"/>
          <w:kern w:val="0"/>
          <w:sz w:val="32"/>
          <w:szCs w:val="32"/>
          <w:lang w:bidi="ar"/>
        </w:rPr>
        <w:t>非法人产品</w:t>
      </w:r>
      <w:r>
        <w:rPr>
          <w:rFonts w:hint="eastAsia" w:ascii="仿宋" w:hAnsi="仿宋" w:eastAsia="仿宋" w:cs="仿宋"/>
          <w:sz w:val="32"/>
          <w:szCs w:val="32"/>
        </w:rPr>
        <w:t>在票交所开立的用于票据资金清算结算及资金收付的电子簿记账户。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2.间接参与者的资金账户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间接参与者以金融机构为参与者服务机构办理票据业务，应在参与者服务机构开立结算账户，</w:t>
      </w:r>
      <w:r>
        <w:rPr>
          <w:rFonts w:hint="eastAsia" w:ascii="仿宋" w:hAnsi="仿宋" w:eastAsia="仿宋"/>
          <w:sz w:val="32"/>
          <w:szCs w:val="32"/>
        </w:rPr>
        <w:t>用于办理</w:t>
      </w:r>
      <w:r>
        <w:rPr>
          <w:rFonts w:ascii="仿宋" w:hAnsi="仿宋" w:eastAsia="仿宋"/>
          <w:sz w:val="32"/>
          <w:szCs w:val="32"/>
        </w:rPr>
        <w:t>票据业务</w:t>
      </w:r>
      <w:r>
        <w:rPr>
          <w:rFonts w:hint="eastAsia" w:ascii="仿宋" w:hAnsi="仿宋" w:eastAsia="仿宋"/>
          <w:sz w:val="32"/>
          <w:szCs w:val="32"/>
        </w:rPr>
        <w:t>资金</w:t>
      </w:r>
      <w:r>
        <w:rPr>
          <w:rFonts w:ascii="仿宋" w:hAnsi="仿宋" w:eastAsia="仿宋"/>
          <w:sz w:val="32"/>
          <w:szCs w:val="32"/>
        </w:rPr>
        <w:t>结算</w:t>
      </w:r>
      <w:r>
        <w:rPr>
          <w:rFonts w:hint="eastAsia" w:ascii="仿宋" w:hAnsi="仿宋" w:eastAsia="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间接参与者通过供应链平台办理的票据业务，应使用其在结算账户开户行开立的结算账户，</w:t>
      </w:r>
      <w:r>
        <w:rPr>
          <w:rFonts w:hint="eastAsia" w:ascii="仿宋" w:hAnsi="仿宋" w:eastAsia="仿宋"/>
          <w:sz w:val="32"/>
          <w:szCs w:val="32"/>
        </w:rPr>
        <w:t>办理</w:t>
      </w:r>
      <w:r>
        <w:rPr>
          <w:rFonts w:ascii="仿宋" w:hAnsi="仿宋" w:eastAsia="仿宋"/>
          <w:sz w:val="32"/>
          <w:szCs w:val="32"/>
        </w:rPr>
        <w:t>票据业务</w:t>
      </w:r>
      <w:r>
        <w:rPr>
          <w:rFonts w:hint="eastAsia" w:ascii="仿宋" w:hAnsi="仿宋" w:eastAsia="仿宋"/>
          <w:sz w:val="32"/>
          <w:szCs w:val="32"/>
        </w:rPr>
        <w:t>资金</w:t>
      </w:r>
      <w:r>
        <w:rPr>
          <w:rFonts w:ascii="仿宋" w:hAnsi="仿宋" w:eastAsia="仿宋"/>
          <w:sz w:val="32"/>
          <w:szCs w:val="32"/>
        </w:rPr>
        <w:t>结算</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1.5.1.1 开立</w:t>
      </w:r>
    </w:p>
    <w:p>
      <w:pPr>
        <w:widowControl/>
        <w:spacing w:line="590" w:lineRule="exact"/>
        <w:ind w:firstLine="622" w:firstLineChars="200"/>
        <w:rPr>
          <w:rFonts w:ascii="仿宋_GB2312" w:hAnsi="仿宋_GB2312" w:eastAsia="仿宋_GB2312" w:cs="仿宋_GB2312"/>
          <w:b/>
          <w:bCs/>
          <w:color w:val="000000"/>
          <w:kern w:val="0"/>
          <w:sz w:val="31"/>
          <w:szCs w:val="31"/>
        </w:rPr>
      </w:pPr>
      <w:r>
        <w:rPr>
          <w:rFonts w:hint="eastAsia" w:ascii="仿宋_GB2312" w:hAnsi="仿宋_GB2312" w:eastAsia="仿宋_GB2312" w:cs="仿宋_GB2312"/>
          <w:b/>
          <w:bCs/>
          <w:color w:val="000000"/>
          <w:kern w:val="0"/>
          <w:sz w:val="31"/>
          <w:szCs w:val="31"/>
        </w:rPr>
        <w:t>[总体要求]</w:t>
      </w:r>
    </w:p>
    <w:p>
      <w:pPr>
        <w:widowControl/>
        <w:spacing w:line="590" w:lineRule="exact"/>
        <w:ind w:firstLine="620" w:firstLineChars="200"/>
        <w:rPr>
          <w:rFonts w:ascii="仿宋_GB2312" w:hAnsi="仿宋_GB2312" w:eastAsia="仿宋_GB2312" w:cs="仿宋_GB2312"/>
          <w:color w:val="000000"/>
          <w:kern w:val="0"/>
          <w:sz w:val="31"/>
          <w:szCs w:val="31"/>
        </w:rPr>
      </w:pPr>
      <w:r>
        <w:rPr>
          <w:rFonts w:hint="eastAsia" w:ascii="仿宋_GB2312" w:hAnsi="仿宋_GB2312" w:eastAsia="仿宋_GB2312" w:cs="仿宋_GB2312"/>
          <w:color w:val="000000"/>
          <w:kern w:val="0"/>
          <w:sz w:val="31"/>
          <w:szCs w:val="31"/>
        </w:rPr>
        <w:t>已开立人行清算账户的金融机构，票交所直接借记或贷记其人行清算账户完成票据资金的清算结算。</w:t>
      </w:r>
    </w:p>
    <w:p>
      <w:pPr>
        <w:widowControl/>
        <w:spacing w:line="590" w:lineRule="exact"/>
        <w:ind w:firstLine="620" w:firstLineChars="200"/>
        <w:rPr>
          <w:rFonts w:ascii="仿宋_GB2312" w:hAnsi="仿宋_GB2312" w:eastAsia="仿宋_GB2312" w:cs="仿宋_GB2312"/>
          <w:color w:val="000000"/>
          <w:kern w:val="0"/>
          <w:sz w:val="31"/>
          <w:szCs w:val="31"/>
        </w:rPr>
      </w:pPr>
      <w:r>
        <w:rPr>
          <w:rFonts w:hint="eastAsia" w:ascii="仿宋_GB2312" w:hAnsi="仿宋_GB2312" w:eastAsia="仿宋_GB2312" w:cs="仿宋_GB2312"/>
          <w:color w:val="000000"/>
          <w:kern w:val="0"/>
          <w:sz w:val="31"/>
          <w:szCs w:val="31"/>
        </w:rPr>
        <w:t>未开立人行清算账户的金融机构、非法人产品，应当在票交所开立会员资金账户，并授权票交所直接借记或贷记其会员资金账户完成票据资金的清算结算。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金融机构的授权分支机构统一通过其总部的人行清算账户或会员资金账户办理票据资金清算结算业务。</w:t>
      </w:r>
    </w:p>
    <w:p>
      <w:pPr>
        <w:widowControl/>
        <w:spacing w:line="590" w:lineRule="exact"/>
        <w:ind w:firstLine="622" w:firstLineChars="200"/>
        <w:rPr>
          <w:rFonts w:ascii="仿宋_GB2312" w:hAnsi="仿宋_GB2312" w:eastAsia="仿宋_GB2312" w:cs="仿宋_GB2312"/>
          <w:b/>
          <w:bCs/>
          <w:color w:val="000000"/>
          <w:kern w:val="0"/>
          <w:sz w:val="31"/>
          <w:szCs w:val="31"/>
        </w:rPr>
      </w:pPr>
      <w:r>
        <w:rPr>
          <w:rFonts w:hint="eastAsia" w:ascii="仿宋_GB2312" w:hAnsi="仿宋_GB2312" w:eastAsia="仿宋_GB2312" w:cs="仿宋_GB2312"/>
          <w:b/>
          <w:bCs/>
          <w:color w:val="000000"/>
          <w:kern w:val="0"/>
          <w:sz w:val="31"/>
          <w:szCs w:val="31"/>
        </w:rPr>
        <w:t>[会员资金账户要求]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金融机构法人申请开立会员资金账户的，会员资金账户名称应当与金融机构法人名称一致。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非法人产品申请加入票交所的，由产品管理人提交会员资金账户开立申请，该账户名称应当与非法人产品名称一致。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非法人产品在票交所开立会员资金账户的，应当预留并指定其在商业银行开立的银行结算账户或在票交所认可的其他机构开立的资金账户作为出入金账户，用于汇划会员资金账户的票据资金。（出金账户管理要求详见本指南第“8.1.2”章节）</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3"/>
        <w:rPr>
          <w:rFonts w:ascii="仿宋" w:hAnsi="仿宋" w:eastAsia="仿宋" w:cs="仿宋"/>
          <w:b/>
          <w:bCs/>
          <w:sz w:val="32"/>
          <w:szCs w:val="32"/>
        </w:rPr>
      </w:pPr>
      <w:r>
        <w:rPr>
          <w:rFonts w:hint="eastAsia" w:ascii="仿宋" w:hAnsi="仿宋" w:eastAsia="仿宋" w:cs="仿宋"/>
          <w:b/>
          <w:bCs/>
          <w:sz w:val="32"/>
          <w:szCs w:val="32"/>
        </w:rPr>
        <w:t>1.5.1.2 变更</w:t>
      </w:r>
    </w:p>
    <w:p>
      <w:pPr>
        <w:numPr>
          <w:ilvl w:val="255"/>
          <w:numId w:val="0"/>
        </w:numPr>
        <w:spacing w:line="590" w:lineRule="exact"/>
        <w:ind w:firstLine="640" w:firstLineChars="200"/>
        <w:rPr>
          <w:rFonts w:ascii="仿宋" w:hAnsi="仿宋" w:eastAsia="仿宋" w:cs="仿宋"/>
          <w:b/>
          <w:bCs/>
          <w:sz w:val="32"/>
          <w:szCs w:val="32"/>
        </w:rPr>
      </w:pPr>
      <w:r>
        <w:rPr>
          <w:rFonts w:hint="eastAsia" w:ascii="仿宋" w:hAnsi="仿宋" w:eastAsia="仿宋" w:cs="仿宋"/>
          <w:sz w:val="32"/>
          <w:szCs w:val="32"/>
        </w:rPr>
        <w:t>使用人行清算账户的</w:t>
      </w:r>
      <w:r>
        <w:rPr>
          <w:rFonts w:hint="eastAsia" w:ascii="仿宋" w:hAnsi="仿宋" w:eastAsia="仿宋" w:cs="仿宋"/>
          <w:sz w:val="32"/>
          <w:szCs w:val="32"/>
          <w:lang w:bidi="ar"/>
        </w:rPr>
        <w:t>金融机构</w:t>
      </w:r>
      <w:r>
        <w:rPr>
          <w:rFonts w:hint="eastAsia" w:ascii="仿宋" w:hAnsi="仿宋" w:eastAsia="仿宋" w:cs="仿宋"/>
          <w:sz w:val="32"/>
          <w:szCs w:val="32"/>
        </w:rPr>
        <w:t>，由支付系统直接参与者变更为间接参与者，需撤销或暂停使用人行清算账户的</w:t>
      </w:r>
      <w:r>
        <w:rPr>
          <w:rFonts w:hint="eastAsia" w:ascii="仿宋" w:hAnsi="仿宋" w:eastAsia="仿宋" w:cs="仿宋"/>
          <w:b w:val="0"/>
          <w:bCs w:val="0"/>
          <w:sz w:val="32"/>
          <w:szCs w:val="32"/>
        </w:rPr>
        <w:t>，应当申请变更为使用会员资金账户。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使用会员资金账户的</w:t>
      </w:r>
      <w:r>
        <w:rPr>
          <w:rFonts w:hint="eastAsia" w:ascii="仿宋" w:hAnsi="仿宋" w:eastAsia="仿宋" w:cs="仿宋"/>
          <w:sz w:val="32"/>
          <w:szCs w:val="32"/>
          <w:lang w:bidi="ar"/>
        </w:rPr>
        <w:t>金融机构</w:t>
      </w:r>
      <w:r>
        <w:rPr>
          <w:rFonts w:hint="eastAsia" w:ascii="仿宋" w:hAnsi="仿宋" w:eastAsia="仿宋" w:cs="仿宋"/>
          <w:sz w:val="32"/>
          <w:szCs w:val="32"/>
        </w:rPr>
        <w:t>，符合本指南第“1.5.1.1”章节要求，且同时满足以下条件的，可以申请变更为使用人行清算账户</w:t>
      </w:r>
      <w:r>
        <w:rPr>
          <w:rFonts w:hint="eastAsia" w:ascii="仿宋" w:hAnsi="仿宋" w:eastAsia="仿宋" w:cs="仿宋"/>
          <w:sz w:val="32"/>
          <w:szCs w:val="32"/>
          <w:lang w:eastAsia="zh-CN"/>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①当前使用的会员资金账户无待结算的在途资金；</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②当前使用的会员资金账户状态正常，且未涉及违法违规行为。</w:t>
      </w:r>
      <w:bookmarkEnd w:id="316"/>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3"/>
        <w:rPr>
          <w:rFonts w:ascii="仿宋" w:hAnsi="仿宋" w:eastAsia="仿宋" w:cs="仿宋"/>
          <w:b/>
          <w:bCs/>
          <w:sz w:val="32"/>
          <w:szCs w:val="32"/>
        </w:rPr>
      </w:pPr>
      <w:bookmarkStart w:id="324" w:name="_Toc10756"/>
      <w:bookmarkStart w:id="325" w:name="_Toc28726"/>
      <w:r>
        <w:rPr>
          <w:rFonts w:hint="eastAsia" w:ascii="仿宋" w:hAnsi="仿宋" w:eastAsia="仿宋" w:cs="仿宋"/>
          <w:b/>
          <w:bCs/>
          <w:sz w:val="32"/>
          <w:szCs w:val="32"/>
        </w:rPr>
        <w:t>1</w:t>
      </w:r>
      <w:r>
        <w:rPr>
          <w:rFonts w:ascii="仿宋" w:hAnsi="仿宋" w:eastAsia="仿宋" w:cs="仿宋"/>
          <w:b/>
          <w:bCs/>
          <w:sz w:val="32"/>
          <w:szCs w:val="32"/>
        </w:rPr>
        <w:t>.</w:t>
      </w:r>
      <w:r>
        <w:rPr>
          <w:rFonts w:hint="eastAsia" w:ascii="仿宋" w:hAnsi="仿宋" w:eastAsia="仿宋" w:cs="仿宋"/>
          <w:b/>
          <w:bCs/>
          <w:sz w:val="32"/>
          <w:szCs w:val="32"/>
        </w:rPr>
        <w:t>5</w:t>
      </w:r>
      <w:r>
        <w:rPr>
          <w:rFonts w:ascii="仿宋" w:hAnsi="仿宋" w:eastAsia="仿宋" w:cs="仿宋"/>
          <w:b/>
          <w:bCs/>
          <w:sz w:val="32"/>
          <w:szCs w:val="32"/>
        </w:rPr>
        <w:t>.</w:t>
      </w:r>
      <w:r>
        <w:rPr>
          <w:rFonts w:hint="eastAsia" w:ascii="仿宋" w:hAnsi="仿宋" w:eastAsia="仿宋" w:cs="仿宋"/>
          <w:b/>
          <w:bCs/>
          <w:sz w:val="32"/>
          <w:szCs w:val="32"/>
        </w:rPr>
        <w:t>1</w:t>
      </w:r>
      <w:r>
        <w:rPr>
          <w:rFonts w:ascii="仿宋" w:hAnsi="仿宋" w:eastAsia="仿宋" w:cs="仿宋"/>
          <w:b/>
          <w:bCs/>
          <w:sz w:val="32"/>
          <w:szCs w:val="32"/>
        </w:rPr>
        <w:t xml:space="preserve">.3 </w:t>
      </w:r>
      <w:r>
        <w:rPr>
          <w:rFonts w:hint="eastAsia" w:ascii="仿宋" w:hAnsi="仿宋" w:eastAsia="仿宋" w:cs="仿宋"/>
          <w:b/>
          <w:bCs/>
          <w:sz w:val="32"/>
          <w:szCs w:val="32"/>
        </w:rPr>
        <w:t>注销</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[主动注销]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会员资金账户同时满足以下条件，可以办理注销手续：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1.会员资金账户无待结算的在途资金；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2.会员资金账户状态正常，且未涉及违法违规行为；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3.当期费用已结清；</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4.票交所规定的其他要求。</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[久悬账户]</w:t>
      </w:r>
    </w:p>
    <w:p>
      <w:pPr>
        <w:spacing w:line="59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对超过一年未发生票据资金收付业务且未拖欠有偿服务费的会员资金账户，票交所将以邮件形式通</w:t>
      </w:r>
      <w:r>
        <w:rPr>
          <w:rFonts w:hint="eastAsia" w:ascii="仿宋" w:hAnsi="仿宋" w:eastAsia="仿宋" w:cs="仿宋"/>
          <w:color w:val="333333"/>
          <w:sz w:val="32"/>
          <w:szCs w:val="32"/>
        </w:rPr>
        <w:t>知</w:t>
      </w:r>
      <w:r>
        <w:rPr>
          <w:rFonts w:hint="eastAsia" w:ascii="仿宋" w:hAnsi="仿宋" w:eastAsia="仿宋" w:cs="仿宋"/>
          <w:sz w:val="32"/>
          <w:szCs w:val="32"/>
        </w:rPr>
        <w:t>账户持有人</w:t>
      </w:r>
      <w:r>
        <w:rPr>
          <w:rFonts w:hint="eastAsia" w:ascii="仿宋" w:hAnsi="仿宋" w:eastAsia="仿宋" w:cs="仿宋"/>
          <w:color w:val="000000"/>
          <w:sz w:val="32"/>
          <w:szCs w:val="32"/>
        </w:rPr>
        <w:t>自发出通知之日起30日内办理销户手续。</w:t>
      </w:r>
    </w:p>
    <w:p>
      <w:pPr>
        <w:spacing w:line="59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账户持有人逾期未办理销户手续的，票交所有权按规定将其会员资金账户状态变更为久悬，并将结余资金列入久悬专户管理。</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sz w:val="32"/>
          <w:szCs w:val="32"/>
        </w:rPr>
        <w:t>列为久悬账户管理的账户持有人可以向票交所申请撤销久悬状态。符合相关规定的，票交所为其撤销会员资金账户久悬状态或将资金划转至其指定银行的结算账户。</w:t>
      </w:r>
    </w:p>
    <w:p>
      <w:pPr>
        <w:spacing w:line="590" w:lineRule="exact"/>
        <w:ind w:firstLine="643" w:firstLineChars="200"/>
        <w:rPr>
          <w:rFonts w:ascii="仿宋" w:hAnsi="仿宋" w:eastAsia="仿宋" w:cs="仿宋"/>
          <w:b/>
          <w:bCs/>
          <w:color w:val="000000"/>
          <w:sz w:val="32"/>
          <w:szCs w:val="32"/>
        </w:rPr>
      </w:pPr>
      <w:r>
        <w:rPr>
          <w:rFonts w:hint="eastAsia" w:ascii="仿宋" w:hAnsi="仿宋" w:eastAsia="仿宋" w:cs="仿宋"/>
          <w:b/>
          <w:bCs/>
          <w:color w:val="000000"/>
          <w:sz w:val="32"/>
          <w:szCs w:val="32"/>
        </w:rPr>
        <w:t>[</w:t>
      </w:r>
      <w:r>
        <w:rPr>
          <w:rFonts w:hint="eastAsia" w:ascii="仿宋" w:hAnsi="仿宋" w:eastAsia="仿宋" w:cs="仿宋"/>
          <w:b/>
          <w:bCs/>
          <w:sz w:val="32"/>
          <w:szCs w:val="32"/>
        </w:rPr>
        <w:t>权限终止]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有下列情形之一的，票交所有权终止会员资金账户的使用权限，通知会员资金账户持有人（以下简称“账户持有人”)办理资金账户注销手续，并补缴未结清的票据服务费用：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1.金融机构发生停业、整顿、解散、破产清算等重大事项的；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2.金融机构、非法人产品严重违反票交所业务规则或者相关规定的；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3.发生票交所规定的其他情形的。</w:t>
      </w:r>
      <w:bookmarkEnd w:id="324"/>
      <w:bookmarkEnd w:id="325"/>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2"/>
        <w:rPr>
          <w:rFonts w:ascii="仿宋" w:hAnsi="仿宋" w:eastAsia="仿宋" w:cs="仿宋"/>
          <w:b/>
          <w:bCs/>
          <w:sz w:val="32"/>
          <w:szCs w:val="32"/>
        </w:rPr>
      </w:pPr>
      <w:bookmarkStart w:id="326" w:name="_Toc11713"/>
      <w:bookmarkStart w:id="327" w:name="_Toc10646"/>
      <w:bookmarkStart w:id="328" w:name="_Toc29795"/>
      <w:bookmarkStart w:id="329" w:name="_Toc1150200956"/>
      <w:bookmarkStart w:id="330" w:name="_Toc3495"/>
      <w:bookmarkStart w:id="331" w:name="_Toc14373"/>
      <w:bookmarkStart w:id="332" w:name="_Toc18883"/>
      <w:bookmarkStart w:id="333" w:name="_Toc29393"/>
      <w:bookmarkStart w:id="334" w:name="_Toc16461"/>
      <w:bookmarkStart w:id="335" w:name="_Toc8443"/>
      <w:r>
        <w:rPr>
          <w:rFonts w:hint="eastAsia" w:ascii="仿宋" w:hAnsi="仿宋" w:eastAsia="仿宋" w:cs="仿宋"/>
          <w:b/>
          <w:sz w:val="32"/>
        </w:rPr>
        <w:t>1.5.2 票据托管账户</w:t>
      </w:r>
      <w:bookmarkEnd w:id="317"/>
      <w:bookmarkEnd w:id="318"/>
      <w:bookmarkEnd w:id="319"/>
      <w:bookmarkEnd w:id="320"/>
      <w:bookmarkEnd w:id="321"/>
      <w:bookmarkEnd w:id="322"/>
      <w:bookmarkEnd w:id="323"/>
      <w:bookmarkEnd w:id="326"/>
      <w:bookmarkEnd w:id="327"/>
      <w:bookmarkEnd w:id="328"/>
      <w:bookmarkEnd w:id="329"/>
      <w:bookmarkEnd w:id="330"/>
      <w:bookmarkEnd w:id="331"/>
      <w:bookmarkEnd w:id="332"/>
      <w:bookmarkEnd w:id="333"/>
      <w:bookmarkEnd w:id="334"/>
      <w:bookmarkEnd w:id="335"/>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金融机构、非法人产品等直接参与者在票交所开立的、用以记载其持有票据的余额及变动等情况的电子簿记账户。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间接参与者通过供应链平台加入票交所，票交所为其分配票据账户。</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3"/>
        <w:rPr>
          <w:rFonts w:ascii="仿宋" w:hAnsi="仿宋" w:eastAsia="仿宋" w:cs="仿宋"/>
          <w:b/>
          <w:bCs/>
          <w:sz w:val="32"/>
          <w:szCs w:val="32"/>
        </w:rPr>
      </w:pPr>
      <w:r>
        <w:rPr>
          <w:rFonts w:hint="eastAsia" w:ascii="仿宋" w:hAnsi="仿宋" w:eastAsia="仿宋" w:cs="仿宋"/>
          <w:b/>
          <w:bCs/>
          <w:sz w:val="32"/>
          <w:szCs w:val="32"/>
        </w:rPr>
        <w:t>1.5.2.1 开立</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[开立流程]</w:t>
      </w:r>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金融机构</w:t>
      </w:r>
      <w:r>
        <w:rPr>
          <w:rFonts w:hint="eastAsia" w:ascii="仿宋" w:hAnsi="仿宋" w:eastAsia="仿宋" w:cs="仿宋"/>
          <w:sz w:val="32"/>
          <w:szCs w:val="32"/>
        </w:rPr>
        <w:t>、非法人产品等直接参与者申请接入票据业务系统后，票交所为其开立票据托管账户，并告知票据托管账户账号。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单个机构或非法人产品只能开立一个票据托管账户（人民银行另有规定的除外）。</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企业等间接参与者通过供应链平台接入票交所后，票交所为其分配票据账户。</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[账户规则]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金融机构、非法人产品等直接参与者的票据托管账户账号共22位，第一位为C，后21位为机构编号。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通过供应链平台接入票交所的企业等间接参与者的票据账户账号共29位。</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3"/>
        <w:rPr>
          <w:rFonts w:ascii="仿宋" w:hAnsi="仿宋" w:eastAsia="仿宋" w:cs="仿宋"/>
          <w:b/>
          <w:bCs/>
          <w:sz w:val="32"/>
          <w:szCs w:val="32"/>
        </w:rPr>
      </w:pPr>
      <w:r>
        <w:rPr>
          <w:rFonts w:hint="eastAsia" w:ascii="仿宋" w:hAnsi="仿宋" w:eastAsia="仿宋" w:cs="仿宋"/>
          <w:b/>
          <w:bCs/>
          <w:sz w:val="32"/>
          <w:szCs w:val="32"/>
        </w:rPr>
        <w:t>1.5.2.2 注销</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[注销流程]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金融机构、非法人产品等直接参与者申请退出票交所的，退出完成后票交所注销其票据托管账户。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供应链平台向票交所发送企业等间接参与者信息维护申请，删除该参与者在供应链平台所有备案的结算账户后，票交所注销票据账户。</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[注销条件]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1.注销票据托管账户，应当同时满足以下条件：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（1）票据托管账户持有未到期票据余额为零；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（2）不存在与该票据托管账户相关的未了结或未承接的票据权利义务；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（3）票交所规定的其他情形。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2.满足以下条件的，票交所有权注销业务参与者票据托管账户：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（1）直接参与者连续两年未在票交所发生任何业务且未申请延期的，票交所在确认其票据托管账户余额为零、且无未了结或未承接的票据权利义务后，有权注销该票据托管账户；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（2）非法人产品到期后一个月内未主动办理票据托管账户注销手续的，票交所在确认其票据托管账户余额为零、且无未了结或未承接的票据权利义务后，有权注销该票据托管账户；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（3）票交所规定的其他情形。</w:t>
      </w:r>
    </w:p>
    <w:p>
      <w:pPr>
        <w:rPr>
          <w:rFonts w:ascii="仿宋" w:hAnsi="仿宋" w:eastAsia="仿宋" w:cs="仿宋"/>
          <w:sz w:val="32"/>
          <w:szCs w:val="32"/>
        </w:rPr>
      </w:pPr>
      <w:r>
        <w:rPr>
          <w:rFonts w:hint="eastAsia" w:ascii="仿宋" w:hAnsi="仿宋" w:eastAsia="仿宋" w:cs="仿宋"/>
          <w:sz w:val="32"/>
          <w:szCs w:val="32"/>
        </w:rPr>
        <w:br w:type="page"/>
      </w:r>
    </w:p>
    <w:p>
      <w:pPr>
        <w:spacing w:line="590" w:lineRule="exact"/>
        <w:jc w:val="center"/>
        <w:outlineLvl w:val="0"/>
        <w:rPr>
          <w:rFonts w:ascii="仿宋" w:hAnsi="仿宋" w:eastAsia="仿宋" w:cs="仿宋"/>
          <w:b/>
          <w:sz w:val="32"/>
          <w:szCs w:val="32"/>
        </w:rPr>
      </w:pPr>
      <w:bookmarkStart w:id="336" w:name="_Toc4089"/>
      <w:bookmarkStart w:id="337" w:name="_Toc15042"/>
      <w:bookmarkStart w:id="338" w:name="_Toc26756"/>
      <w:bookmarkStart w:id="339" w:name="_Toc19973"/>
      <w:bookmarkStart w:id="340" w:name="_Toc1316"/>
      <w:bookmarkStart w:id="341" w:name="_Toc14842"/>
      <w:bookmarkStart w:id="342" w:name="_Toc19733"/>
      <w:bookmarkStart w:id="343" w:name="_Toc10878"/>
      <w:bookmarkStart w:id="344" w:name="_Toc9241"/>
      <w:bookmarkStart w:id="345" w:name="_Toc6838"/>
      <w:bookmarkStart w:id="346" w:name="_Toc17306"/>
      <w:bookmarkStart w:id="347" w:name="_Toc31023"/>
      <w:bookmarkStart w:id="348" w:name="_Toc8120"/>
      <w:bookmarkStart w:id="349" w:name="_Toc32766"/>
      <w:bookmarkStart w:id="350" w:name="_Toc30109"/>
      <w:bookmarkStart w:id="351" w:name="_Toc840897428"/>
      <w:bookmarkStart w:id="352" w:name="_Toc5656"/>
      <w:r>
        <w:rPr>
          <w:rFonts w:hint="eastAsia" w:ascii="仿宋" w:hAnsi="仿宋" w:eastAsia="仿宋" w:cs="仿宋"/>
          <w:b/>
          <w:bCs/>
          <w:kern w:val="44"/>
          <w:sz w:val="40"/>
          <w:szCs w:val="40"/>
        </w:rPr>
        <w:t>第二章 电子商业汇票的签发和流转</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spacing w:line="590" w:lineRule="exact"/>
        <w:ind w:firstLine="643" w:firstLineChars="200"/>
        <w:rPr>
          <w:rFonts w:ascii="仿宋" w:hAnsi="仿宋" w:eastAsia="仿宋" w:cs="仿宋"/>
          <w:b/>
          <w:sz w:val="32"/>
          <w:szCs w:val="32"/>
        </w:rPr>
      </w:pPr>
    </w:p>
    <w:p>
      <w:pPr>
        <w:pStyle w:val="3"/>
        <w:spacing w:before="0" w:after="0" w:line="590" w:lineRule="exact"/>
        <w:ind w:firstLine="643" w:firstLineChars="200"/>
        <w:rPr>
          <w:rFonts w:ascii="仿宋" w:hAnsi="仿宋" w:eastAsia="仿宋" w:cs="仿宋"/>
        </w:rPr>
      </w:pPr>
      <w:bookmarkStart w:id="353" w:name="_Toc14011"/>
      <w:bookmarkStart w:id="354" w:name="_Toc31901"/>
      <w:bookmarkStart w:id="355" w:name="_Toc1813118634"/>
      <w:bookmarkStart w:id="356" w:name="_Toc18874"/>
      <w:bookmarkStart w:id="357" w:name="_Toc11588"/>
      <w:bookmarkStart w:id="358" w:name="_Toc4747"/>
      <w:bookmarkStart w:id="359" w:name="_Toc8190"/>
      <w:bookmarkStart w:id="360" w:name="_Toc19117"/>
      <w:bookmarkStart w:id="361" w:name="_Toc19284"/>
      <w:bookmarkStart w:id="362" w:name="_Toc13439"/>
      <w:bookmarkStart w:id="363" w:name="_Toc30941"/>
      <w:bookmarkStart w:id="364" w:name="_Toc20831"/>
      <w:bookmarkStart w:id="365" w:name="_Toc11534"/>
      <w:bookmarkStart w:id="366" w:name="_Toc21183"/>
      <w:bookmarkStart w:id="367" w:name="_Toc11630"/>
      <w:bookmarkStart w:id="368" w:name="_Toc29695"/>
      <w:bookmarkStart w:id="369" w:name="_Toc21188"/>
      <w:r>
        <w:rPr>
          <w:rFonts w:hint="eastAsia" w:ascii="仿宋" w:hAnsi="仿宋" w:eastAsia="仿宋" w:cs="仿宋"/>
        </w:rPr>
        <w:t>2.1 概述</w:t>
      </w:r>
      <w:bookmarkEnd w:id="353"/>
      <w:bookmarkEnd w:id="354"/>
      <w:bookmarkEnd w:id="355"/>
      <w:bookmarkEnd w:id="356"/>
      <w:bookmarkEnd w:id="357"/>
      <w:bookmarkEnd w:id="358"/>
    </w:p>
    <w:p>
      <w:pPr>
        <w:pStyle w:val="4"/>
        <w:spacing w:before="0" w:after="0" w:line="590" w:lineRule="exact"/>
        <w:ind w:firstLine="643" w:firstLineChars="200"/>
        <w:rPr>
          <w:rFonts w:ascii="仿宋" w:hAnsi="仿宋" w:eastAsia="仿宋" w:cs="仿宋"/>
          <w:lang w:bidi="ar"/>
        </w:rPr>
      </w:pPr>
      <w:bookmarkStart w:id="370" w:name="_Toc13704"/>
      <w:bookmarkStart w:id="371" w:name="_Toc32120"/>
      <w:bookmarkStart w:id="372" w:name="_Toc26284"/>
      <w:bookmarkStart w:id="373" w:name="_Toc27129"/>
      <w:bookmarkStart w:id="374" w:name="_Toc1468154500"/>
      <w:bookmarkStart w:id="375" w:name="_Toc26653"/>
      <w:r>
        <w:rPr>
          <w:rFonts w:hint="eastAsia" w:ascii="仿宋" w:hAnsi="仿宋" w:eastAsia="仿宋" w:cs="仿宋"/>
          <w:lang w:bidi="ar"/>
        </w:rPr>
        <w:t>2.1.1 票据要素信息</w:t>
      </w:r>
      <w:bookmarkEnd w:id="370"/>
      <w:bookmarkEnd w:id="371"/>
      <w:bookmarkEnd w:id="372"/>
      <w:bookmarkEnd w:id="373"/>
      <w:bookmarkEnd w:id="374"/>
      <w:bookmarkEnd w:id="375"/>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bidi="ar"/>
        </w:rPr>
        <w:t>商业汇票</w:t>
      </w:r>
      <w:r>
        <w:rPr>
          <w:rFonts w:hint="eastAsia" w:ascii="仿宋" w:hAnsi="仿宋" w:eastAsia="仿宋" w:cs="仿宋"/>
          <w:b/>
          <w:bCs/>
          <w:sz w:val="32"/>
          <w:szCs w:val="32"/>
        </w:rPr>
        <w:t>]</w:t>
      </w:r>
    </w:p>
    <w:p>
      <w:pPr>
        <w:widowControl/>
        <w:ind w:firstLine="640" w:firstLineChars="200"/>
        <w:rPr>
          <w:rFonts w:ascii="仿宋" w:hAnsi="仿宋" w:eastAsia="仿宋" w:cs="仿宋"/>
          <w:sz w:val="32"/>
          <w:szCs w:val="32"/>
          <w:lang w:eastAsia="zh-Hans"/>
        </w:rPr>
      </w:pPr>
      <w:r>
        <w:rPr>
          <w:rFonts w:hint="eastAsia" w:ascii="仿宋" w:hAnsi="仿宋" w:eastAsia="仿宋" w:cs="仿宋"/>
          <w:sz w:val="32"/>
          <w:szCs w:val="32"/>
        </w:rPr>
        <w:t>商业汇票是出票人签发的，委托付款人在见票时或者在指定日期无条件支付确定的金额给收款人或者持票人的票据，包括但不限于纸质或电子形式的银行承兑汇票、财务公司承兑汇票、商业承兑汇票等</w:t>
      </w:r>
      <w:r>
        <w:rPr>
          <w:rStyle w:val="25"/>
          <w:rFonts w:hint="eastAsia" w:ascii="仿宋" w:hAnsi="仿宋" w:eastAsia="仿宋" w:cs="仿宋"/>
          <w:sz w:val="32"/>
          <w:szCs w:val="32"/>
        </w:rPr>
        <w:footnoteReference w:id="2"/>
      </w:r>
      <w:r>
        <w:rPr>
          <w:rFonts w:hint="eastAsia" w:ascii="仿宋" w:hAnsi="仿宋" w:eastAsia="仿宋" w:cs="仿宋"/>
          <w:sz w:val="32"/>
          <w:szCs w:val="32"/>
        </w:rPr>
        <w:t>。</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银行承兑汇票是指银行和农村信用合作社承兑的商业汇票。银行主要包括政策性和开发性银行、商业银行和农村合作银行（以下简称银票）。</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财务公司承兑汇票是指企业集团财务公司承兑的商业汇票（以下简称财票）。</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商业承兑汇票是由银行、农村信用合作社、财务公司以外的法人或非法人组织承兑的商业汇票（以下简称商票）。</w:t>
      </w:r>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[票据包]</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出票人签发的由单张或多张标准金额电票组成的票据集合称为票据包。（标准金额为0.01元）</w:t>
      </w:r>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[供应链票据]</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出票人通过供应链平台签发的票据（包），属于电票。</w:t>
      </w:r>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[票据（包）号码]</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票据（包）的唯一且不变的标识号码。</w:t>
      </w:r>
    </w:p>
    <w:tbl>
      <w:tblPr>
        <w:tblStyle w:val="18"/>
        <w:tblpPr w:leftFromText="180" w:rightFromText="180" w:vertAnchor="text" w:horzAnchor="page" w:tblpX="2019" w:tblpY="343"/>
        <w:tblOverlap w:val="never"/>
        <w:tblW w:w="8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680"/>
        <w:gridCol w:w="1971"/>
        <w:gridCol w:w="1390"/>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80" w:type="dxa"/>
          </w:tcPr>
          <w:p>
            <w:pPr>
              <w:jc w:val="center"/>
            </w:pPr>
            <w:r>
              <w:rPr>
                <w:rFonts w:hint="eastAsia"/>
              </w:rPr>
              <w:t>票据种类标识（1位）</w:t>
            </w:r>
          </w:p>
        </w:tc>
        <w:tc>
          <w:tcPr>
            <w:tcW w:w="1680" w:type="dxa"/>
          </w:tcPr>
          <w:p>
            <w:pPr>
              <w:jc w:val="center"/>
            </w:pPr>
            <w:r>
              <w:rPr>
                <w:rFonts w:hint="eastAsia"/>
              </w:rPr>
              <w:t>支付系统行号（12位）</w:t>
            </w:r>
          </w:p>
        </w:tc>
        <w:tc>
          <w:tcPr>
            <w:tcW w:w="1971" w:type="dxa"/>
          </w:tcPr>
          <w:p>
            <w:pPr>
              <w:jc w:val="center"/>
            </w:pPr>
            <w:r>
              <w:rPr>
                <w:rFonts w:hint="eastAsia"/>
              </w:rPr>
              <w:t>出票信息登记日期</w:t>
            </w:r>
          </w:p>
          <w:p>
            <w:pPr>
              <w:jc w:val="center"/>
            </w:pPr>
            <w:r>
              <w:rPr>
                <w:rFonts w:hint="eastAsia"/>
              </w:rPr>
              <w:t>（8位）</w:t>
            </w:r>
          </w:p>
        </w:tc>
        <w:tc>
          <w:tcPr>
            <w:tcW w:w="1390" w:type="dxa"/>
          </w:tcPr>
          <w:p>
            <w:pPr>
              <w:jc w:val="center"/>
            </w:pPr>
            <w:r>
              <w:rPr>
                <w:rFonts w:hint="eastAsia"/>
              </w:rPr>
              <w:t>当天流水号</w:t>
            </w:r>
          </w:p>
          <w:p>
            <w:pPr>
              <w:jc w:val="center"/>
            </w:pPr>
            <w:r>
              <w:rPr>
                <w:rFonts w:hint="eastAsia"/>
              </w:rPr>
              <w:t>（8位）</w:t>
            </w:r>
          </w:p>
        </w:tc>
        <w:tc>
          <w:tcPr>
            <w:tcW w:w="1681" w:type="dxa"/>
          </w:tcPr>
          <w:p>
            <w:pPr>
              <w:jc w:val="center"/>
            </w:pPr>
            <w:r>
              <w:rPr>
                <w:rFonts w:hint="eastAsia"/>
              </w:rPr>
              <w:t>校验码</w:t>
            </w:r>
          </w:p>
          <w:p>
            <w:pPr>
              <w:jc w:val="center"/>
            </w:pPr>
            <w:r>
              <w:rPr>
                <w:rFonts w:hint="eastAsia"/>
              </w:rPr>
              <w:t>（1位）</w:t>
            </w:r>
          </w:p>
        </w:tc>
      </w:tr>
    </w:tbl>
    <w:p>
      <w:pPr>
        <w:tabs>
          <w:tab w:val="left" w:pos="2696"/>
        </w:tabs>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票据（包）号分为5个部分，共30位，全部由阿拉伯数字组成。其中，第1位为票据种类标识，5为银票和财票、6为商票（供应链平台签发的票据，8为银票和财票、7为商票）；第2-13位为支付系统行号，是出票人开户行的支付系统行号；第14-21位为出票信息登记日期，是出票人在票交所成功办理出票信息登记的日期；第22-29位为当天流水号，是票交所计算的当天唯一的流水号；第30位为校验码，是票交所采用双模校验码校验算法生成的用于防止录入错误的编码。</w:t>
      </w:r>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w:t>
      </w:r>
      <w:r>
        <w:rPr>
          <w:rFonts w:hint="eastAsia" w:ascii="仿宋" w:hAnsi="仿宋" w:eastAsia="仿宋" w:cs="仿宋"/>
          <w:b/>
          <w:bCs/>
          <w:sz w:val="32"/>
          <w:szCs w:val="32"/>
        </w:rPr>
        <w:t>子票区间]</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由票据（包）中所有单张标准金额电票在票据（包）中的唯一编码所形成的区间集合。</w:t>
      </w:r>
    </w:p>
    <w:p>
      <w:pPr>
        <w:widowControl/>
        <w:tabs>
          <w:tab w:val="left" w:pos="2696"/>
        </w:tabs>
        <w:spacing w:line="590" w:lineRule="exact"/>
        <w:ind w:firstLine="640" w:firstLineChars="200"/>
        <w:jc w:val="both"/>
        <w:rPr>
          <w:rFonts w:ascii="仿宋" w:hAnsi="仿宋" w:eastAsia="仿宋" w:cs="仿宋"/>
          <w:sz w:val="32"/>
          <w:szCs w:val="32"/>
        </w:rPr>
      </w:pPr>
      <w:r>
        <w:rPr>
          <w:rFonts w:hint="eastAsia" w:ascii="仿宋" w:hAnsi="仿宋" w:eastAsia="仿宋" w:cs="仿宋"/>
          <w:sz w:val="32"/>
          <w:szCs w:val="32"/>
          <w:lang w:bidi="ar"/>
        </w:rPr>
        <w:t>票据包不可分包，则子票区间为“0”且在票据全业务周期中保持不变。如票据包可分包，则子票区间与票据（包）金额相对应。</w:t>
      </w:r>
    </w:p>
    <w:p>
      <w:pPr>
        <w:tabs>
          <w:tab w:val="left" w:pos="2696"/>
        </w:tabs>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[票据的付款期限]</w:t>
      </w:r>
    </w:p>
    <w:p>
      <w:pPr>
        <w:tabs>
          <w:tab w:val="left" w:pos="2696"/>
        </w:tabs>
        <w:spacing w:line="59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rPr>
        <w:t>电票的付款期限自出票日起至到期日止，最长不超过6个月</w:t>
      </w:r>
      <w:r>
        <w:rPr>
          <w:rStyle w:val="25"/>
          <w:rFonts w:hint="eastAsia" w:ascii="仿宋" w:hAnsi="仿宋" w:eastAsia="仿宋" w:cs="仿宋"/>
          <w:sz w:val="32"/>
          <w:szCs w:val="32"/>
        </w:rPr>
        <w:footnoteReference w:id="3"/>
      </w:r>
      <w:r>
        <w:rPr>
          <w:rFonts w:hint="eastAsia" w:ascii="仿宋" w:hAnsi="仿宋" w:eastAsia="仿宋" w:cs="仿宋"/>
          <w:sz w:val="32"/>
          <w:szCs w:val="32"/>
        </w:rPr>
        <w:t>。</w:t>
      </w:r>
    </w:p>
    <w:p>
      <w:pPr>
        <w:tabs>
          <w:tab w:val="left" w:pos="2696"/>
        </w:tabs>
        <w:spacing w:line="590" w:lineRule="exact"/>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lang w:bidi="ar"/>
        </w:rPr>
      </w:pPr>
      <w:bookmarkStart w:id="376" w:name="_Toc19816"/>
      <w:bookmarkStart w:id="377" w:name="_Toc14335"/>
      <w:bookmarkStart w:id="378" w:name="_Toc1681405525"/>
      <w:bookmarkStart w:id="379" w:name="_Toc18720"/>
      <w:bookmarkStart w:id="380" w:name="_Toc7051"/>
      <w:bookmarkStart w:id="381" w:name="_Toc24545"/>
      <w:r>
        <w:rPr>
          <w:rFonts w:hint="eastAsia" w:ascii="仿宋" w:hAnsi="仿宋" w:eastAsia="仿宋" w:cs="仿宋"/>
          <w:b/>
          <w:bCs/>
          <w:sz w:val="32"/>
          <w:szCs w:val="32"/>
          <w:lang w:bidi="ar"/>
        </w:rPr>
        <w:t>2.1.2 业务参与者要素信息</w:t>
      </w:r>
      <w:bookmarkEnd w:id="376"/>
      <w:bookmarkEnd w:id="377"/>
      <w:bookmarkEnd w:id="378"/>
      <w:bookmarkEnd w:id="379"/>
      <w:bookmarkEnd w:id="380"/>
      <w:bookmarkEnd w:id="381"/>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票据当事人通过票交所办理相关票据业务时，需提供当事人的名称、统一社会信用代码、账户名称等信息</w:t>
      </w:r>
      <w:r>
        <w:rPr>
          <w:rFonts w:hint="eastAsia" w:ascii="仿宋" w:hAnsi="仿宋" w:eastAsia="仿宋" w:cs="仿宋"/>
          <w:color w:val="000000"/>
          <w:sz w:val="32"/>
          <w:szCs w:val="32"/>
        </w:rPr>
        <w:t>。</w:t>
      </w:r>
      <w:r>
        <w:rPr>
          <w:rFonts w:hint="eastAsia" w:ascii="仿宋" w:hAnsi="仿宋" w:eastAsia="仿宋" w:cs="仿宋"/>
          <w:bCs/>
          <w:color w:val="000000"/>
          <w:sz w:val="32"/>
          <w:szCs w:val="32"/>
          <w:lang w:bidi="ar"/>
        </w:rPr>
        <w:t>根据其不同类型，需提供的信息如下。</w:t>
      </w:r>
    </w:p>
    <w:p>
      <w:pPr>
        <w:numPr>
          <w:ilvl w:val="0"/>
          <w:numId w:val="8"/>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通过金融机构加入票交所的间接参与者，需提供的信息包括：</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参与者服务机构代码、名称、统一社会信用代码、账户名称、账号、开户行的参与者代码。</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其中，</w:t>
      </w:r>
      <w:r>
        <w:rPr>
          <w:rFonts w:hint="eastAsia" w:ascii="仿宋" w:hAnsi="仿宋" w:eastAsia="仿宋" w:cs="仿宋"/>
          <w:color w:val="000000"/>
          <w:sz w:val="32"/>
          <w:szCs w:val="32"/>
        </w:rPr>
        <w:t>参与者服务机构代码为在票交所的会员代码或平台代码；名称为其已在票交所备案登记的名称（应当为依法领取的营业执照上的名称）；统一社会信用代码为其已在票交所备案登记的统一社会信用代码</w:t>
      </w:r>
      <w:r>
        <w:rPr>
          <w:rFonts w:hint="eastAsia" w:ascii="仿宋" w:hAnsi="仿宋" w:eastAsia="仿宋" w:cs="仿宋"/>
          <w:color w:val="000000"/>
          <w:sz w:val="32"/>
          <w:szCs w:val="32"/>
          <w:lang w:eastAsia="zh-Hans"/>
        </w:rPr>
        <w:t>；</w:t>
      </w:r>
      <w:r>
        <w:rPr>
          <w:rFonts w:hint="eastAsia" w:ascii="仿宋" w:hAnsi="仿宋" w:eastAsia="仿宋" w:cs="仿宋"/>
          <w:color w:val="000000"/>
          <w:sz w:val="32"/>
          <w:szCs w:val="32"/>
        </w:rPr>
        <w:t>账户名称</w:t>
      </w:r>
      <w:r>
        <w:rPr>
          <w:rFonts w:hint="eastAsia" w:ascii="仿宋" w:hAnsi="仿宋" w:eastAsia="仿宋" w:cs="仿宋"/>
          <w:color w:val="000000"/>
          <w:sz w:val="32"/>
          <w:szCs w:val="32"/>
          <w:lang w:eastAsia="zh-Hans"/>
        </w:rPr>
        <w:t>和</w:t>
      </w:r>
      <w:r>
        <w:rPr>
          <w:rFonts w:hint="eastAsia" w:ascii="仿宋" w:hAnsi="仿宋" w:eastAsia="仿宋" w:cs="仿宋"/>
          <w:color w:val="000000"/>
          <w:sz w:val="32"/>
          <w:szCs w:val="32"/>
        </w:rPr>
        <w:t>账号为其已在票交所备案登记的结算账户名称和账号；开户行的参与者代码为其结算账户开户行在票交所的参与者代码</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下同</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2.通过供应链平台加入票交所的间接参与者，需提供以下一组信息：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（1）参与者服务机构代码、名称、统一社会信用代码、账户名称、账号、开户行的参与者代码；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（2）参与者服务机构代码、名称、统一社会信用代码、在票交所开立的票据托管账户账号。</w:t>
      </w:r>
    </w:p>
    <w:p>
      <w:pPr>
        <w:spacing w:line="59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其中，票据托管账户账号为票交所为其分配的票据托管账户账号。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3.金融机构、非法人产品</w:t>
      </w:r>
      <w:r>
        <w:rPr>
          <w:rFonts w:hint="eastAsia" w:ascii="仿宋" w:hAnsi="仿宋" w:eastAsia="仿宋" w:cs="仿宋"/>
          <w:bCs/>
          <w:color w:val="000000"/>
          <w:sz w:val="32"/>
          <w:szCs w:val="32"/>
          <w:lang w:eastAsia="zh-CN" w:bidi="ar"/>
        </w:rPr>
        <w:t>等直接参与者</w:t>
      </w:r>
      <w:r>
        <w:rPr>
          <w:rFonts w:hint="eastAsia" w:ascii="仿宋" w:hAnsi="仿宋" w:eastAsia="仿宋" w:cs="仿宋"/>
          <w:bCs/>
          <w:color w:val="000000"/>
          <w:sz w:val="32"/>
          <w:szCs w:val="32"/>
          <w:lang w:bidi="ar"/>
        </w:rPr>
        <w:t>，需提供的信息包括：在票交所的参与者代码。</w:t>
      </w:r>
    </w:p>
    <w:p>
      <w:pPr>
        <w:numPr>
          <w:ilvl w:val="255"/>
          <w:numId w:val="0"/>
        </w:numPr>
        <w:spacing w:line="590" w:lineRule="exact"/>
        <w:ind w:firstLine="643" w:firstLineChars="200"/>
        <w:outlineLvl w:val="2"/>
        <w:rPr>
          <w:rFonts w:ascii="仿宋" w:hAnsi="仿宋" w:eastAsia="仿宋" w:cs="仿宋"/>
          <w:b/>
          <w:bCs/>
          <w:sz w:val="32"/>
          <w:szCs w:val="32"/>
          <w:lang w:bidi="ar"/>
        </w:rPr>
      </w:pPr>
      <w:bookmarkStart w:id="382" w:name="_Toc217480694"/>
      <w:bookmarkStart w:id="383" w:name="_Toc16996"/>
      <w:bookmarkStart w:id="384" w:name="_Toc32243"/>
      <w:bookmarkStart w:id="385" w:name="_Toc31476"/>
      <w:bookmarkStart w:id="386" w:name="_Toc13846"/>
      <w:bookmarkStart w:id="387" w:name="_Toc26410"/>
      <w:r>
        <w:rPr>
          <w:rFonts w:hint="eastAsia" w:ascii="仿宋" w:hAnsi="仿宋" w:eastAsia="仿宋" w:cs="仿宋"/>
          <w:b/>
          <w:bCs/>
          <w:sz w:val="32"/>
          <w:szCs w:val="32"/>
          <w:lang w:bidi="ar"/>
        </w:rPr>
        <w:t>2.1.3 电子签名及代理签章</w:t>
      </w:r>
      <w:bookmarkEnd w:id="382"/>
      <w:bookmarkEnd w:id="383"/>
      <w:bookmarkEnd w:id="384"/>
      <w:bookmarkEnd w:id="385"/>
      <w:bookmarkEnd w:id="386"/>
      <w:bookmarkEnd w:id="387"/>
    </w:p>
    <w:p>
      <w:pPr>
        <w:numPr>
          <w:ilvl w:val="255"/>
          <w:numId w:val="0"/>
        </w:num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[电子签名]</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票据当事人在电票上的签章，为该当事人可靠的电子签名。</w:t>
      </w:r>
    </w:p>
    <w:p>
      <w:pPr>
        <w:spacing w:line="590" w:lineRule="exact"/>
        <w:ind w:firstLine="640" w:firstLineChars="200"/>
        <w:rPr>
          <w:rFonts w:ascii="仿宋" w:hAnsi="仿宋" w:eastAsia="仿宋" w:cs="仿宋"/>
          <w:bCs/>
          <w:sz w:val="32"/>
          <w:szCs w:val="32"/>
        </w:rPr>
      </w:pPr>
      <w:r>
        <w:rPr>
          <w:rFonts w:hint="eastAsia" w:ascii="仿宋" w:hAnsi="仿宋" w:eastAsia="仿宋" w:cs="仿宋"/>
          <w:sz w:val="32"/>
          <w:szCs w:val="32"/>
        </w:rPr>
        <w:t>间接参与者通过参与者服务机构办理票据业务，其电子签名是参与者服务机构与企业之间的认证信息，参与者服务机构应对通过其办理电票业务的</w:t>
      </w:r>
      <w:r>
        <w:rPr>
          <w:rFonts w:hint="eastAsia" w:ascii="仿宋" w:hAnsi="仿宋" w:eastAsia="仿宋" w:cs="仿宋"/>
          <w:sz w:val="32"/>
          <w:szCs w:val="32"/>
          <w:lang w:eastAsia="zh-CN"/>
        </w:rPr>
        <w:t>间接参与者</w:t>
      </w:r>
      <w:r>
        <w:rPr>
          <w:rFonts w:hint="eastAsia" w:ascii="仿宋" w:hAnsi="仿宋" w:eastAsia="仿宋" w:cs="仿宋"/>
          <w:sz w:val="32"/>
          <w:szCs w:val="32"/>
        </w:rPr>
        <w:t>电子签名真实性负审核责任。</w:t>
      </w:r>
    </w:p>
    <w:p>
      <w:pPr>
        <w:numPr>
          <w:ilvl w:val="255"/>
          <w:numId w:val="0"/>
        </w:num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[代理签章]</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向票交所提交间接参与者的业务申请或业务应答时，间接参与者可自行发起并提供自己的电子签名信息，也可由参与者服务机构在与间接参与者签订协议后，代理间接参与者发起并提供参与者服务机构的电子签名信息。</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除代为作出到期提示付款的应答</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供应链票据映射关系查询</w:t>
      </w:r>
      <w:r>
        <w:rPr>
          <w:rFonts w:hint="eastAsia" w:ascii="仿宋" w:hAnsi="仿宋" w:eastAsia="仿宋" w:cs="仿宋"/>
          <w:sz w:val="32"/>
          <w:szCs w:val="32"/>
        </w:rPr>
        <w:t>外，供应链平台作为参与者服务机构不可为间接参与者提供代理签章。</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sz w:val="32"/>
          <w:szCs w:val="32"/>
        </w:rPr>
      </w:pPr>
      <w:bookmarkStart w:id="388" w:name="_Toc16082"/>
      <w:bookmarkStart w:id="389" w:name="_Toc28013"/>
      <w:bookmarkStart w:id="390" w:name="_Toc21442"/>
      <w:bookmarkStart w:id="391" w:name="_Toc16187"/>
      <w:bookmarkStart w:id="392" w:name="_Toc517959328"/>
      <w:bookmarkStart w:id="393" w:name="_Toc903"/>
      <w:r>
        <w:rPr>
          <w:rFonts w:hint="eastAsia" w:ascii="仿宋" w:hAnsi="仿宋" w:eastAsia="仿宋" w:cs="仿宋"/>
          <w:b/>
          <w:sz w:val="32"/>
          <w:szCs w:val="32"/>
        </w:rPr>
        <w:t>2.2 电票的签发</w:t>
      </w:r>
      <w:bookmarkEnd w:id="359"/>
      <w:bookmarkEnd w:id="360"/>
      <w:bookmarkEnd w:id="361"/>
      <w:bookmarkEnd w:id="362"/>
      <w:bookmarkEnd w:id="363"/>
      <w:bookmarkEnd w:id="364"/>
      <w:bookmarkEnd w:id="365"/>
      <w:bookmarkEnd w:id="366"/>
      <w:bookmarkEnd w:id="367"/>
      <w:bookmarkEnd w:id="368"/>
      <w:bookmarkEnd w:id="369"/>
      <w:bookmarkEnd w:id="388"/>
      <w:bookmarkEnd w:id="389"/>
      <w:bookmarkEnd w:id="390"/>
      <w:bookmarkEnd w:id="391"/>
      <w:bookmarkEnd w:id="392"/>
      <w:bookmarkEnd w:id="393"/>
    </w:p>
    <w:p>
      <w:pPr>
        <w:spacing w:line="590" w:lineRule="exact"/>
        <w:ind w:firstLine="640" w:firstLineChars="200"/>
        <w:rPr>
          <w:rFonts w:ascii="仿宋" w:hAnsi="仿宋" w:eastAsia="仿宋"/>
          <w:sz w:val="32"/>
          <w:szCs w:val="32"/>
        </w:rPr>
      </w:pPr>
      <w:r>
        <w:rPr>
          <w:rFonts w:hint="eastAsia" w:ascii="仿宋" w:hAnsi="仿宋" w:eastAsia="仿宋"/>
          <w:sz w:val="32"/>
          <w:szCs w:val="32"/>
        </w:rPr>
        <w:t>电票的签发</w:t>
      </w:r>
      <w:r>
        <w:rPr>
          <w:rFonts w:hint="eastAsia" w:ascii="仿宋" w:hAnsi="仿宋" w:eastAsia="仿宋"/>
          <w:sz w:val="32"/>
          <w:szCs w:val="32"/>
          <w:lang w:eastAsia="zh-Hans"/>
        </w:rPr>
        <w:t>业务</w:t>
      </w:r>
      <w:r>
        <w:rPr>
          <w:rFonts w:hint="eastAsia" w:ascii="仿宋" w:hAnsi="仿宋" w:eastAsia="仿宋"/>
          <w:sz w:val="32"/>
          <w:szCs w:val="32"/>
        </w:rPr>
        <w:t>包括出票信息登记、提示承兑和提示收票</w:t>
      </w:r>
      <w:r>
        <w:rPr>
          <w:rFonts w:hint="eastAsia" w:ascii="仿宋" w:hAnsi="仿宋" w:eastAsia="仿宋"/>
          <w:sz w:val="32"/>
          <w:szCs w:val="32"/>
          <w:lang w:eastAsia="zh-Hans"/>
        </w:rPr>
        <w:t>业务流程</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394" w:name="_Toc15005"/>
      <w:bookmarkStart w:id="395" w:name="_Toc16883"/>
      <w:bookmarkStart w:id="396" w:name="_Toc29867"/>
      <w:bookmarkStart w:id="397" w:name="_Toc24408"/>
      <w:bookmarkStart w:id="398" w:name="_Toc24946"/>
      <w:bookmarkStart w:id="399" w:name="_Toc9934"/>
      <w:bookmarkStart w:id="400" w:name="_Toc1955"/>
      <w:bookmarkStart w:id="401" w:name="_Toc25253"/>
      <w:bookmarkStart w:id="402" w:name="_Toc20890"/>
      <w:bookmarkStart w:id="403" w:name="_Toc2019849289"/>
      <w:bookmarkStart w:id="404" w:name="_Toc6675"/>
      <w:bookmarkStart w:id="405" w:name="_Toc6099"/>
      <w:bookmarkStart w:id="406" w:name="_Toc679"/>
      <w:bookmarkStart w:id="407" w:name="_Toc20285"/>
      <w:bookmarkStart w:id="408" w:name="_Toc3701"/>
      <w:bookmarkStart w:id="409" w:name="_Toc7199"/>
      <w:bookmarkStart w:id="410" w:name="_Toc7703"/>
      <w:r>
        <w:rPr>
          <w:rFonts w:hint="eastAsia" w:ascii="仿宋" w:hAnsi="仿宋" w:eastAsia="仿宋" w:cs="仿宋"/>
          <w:b/>
          <w:sz w:val="32"/>
          <w:szCs w:val="32"/>
        </w:rPr>
        <w:t>2.2.1 出票信息登记</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出票人签发电票，应在票交所办理出票信息登记。</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sz w:val="32"/>
          <w:szCs w:val="32"/>
          <w:lang w:bidi="ar"/>
        </w:rPr>
        <w:t>出票人为金融机构以外的法人和其他组织。</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2.出票信息登记时，登记的承兑人和收款人不能为同一人。其中，银票和财票的出票人和收款人也不能为同一人。</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sz w:val="32"/>
          <w:szCs w:val="32"/>
        </w:rPr>
        <w:t>出票人根据实际需要，既可以签发固定金额的票据</w:t>
      </w:r>
      <w:r>
        <w:rPr>
          <w:rFonts w:hint="eastAsia" w:ascii="仿宋" w:hAnsi="仿宋" w:eastAsia="仿宋" w:cs="仿宋"/>
          <w:color w:val="000000"/>
          <w:kern w:val="0"/>
          <w:sz w:val="31"/>
          <w:szCs w:val="31"/>
          <w:lang w:bidi="ar"/>
        </w:rPr>
        <w:t>，也可以</w:t>
      </w:r>
      <w:r>
        <w:rPr>
          <w:rFonts w:hint="eastAsia" w:ascii="仿宋" w:hAnsi="仿宋" w:eastAsia="仿宋" w:cs="仿宋"/>
          <w:sz w:val="32"/>
          <w:szCs w:val="32"/>
        </w:rPr>
        <w:t>签发</w:t>
      </w:r>
      <w:r>
        <w:rPr>
          <w:rFonts w:hint="eastAsia" w:ascii="仿宋_GB2312" w:hAnsi="仿宋" w:eastAsia="仿宋_GB2312"/>
          <w:bCs/>
          <w:sz w:val="32"/>
          <w:szCs w:val="32"/>
        </w:rPr>
        <w:t>由若干张标准金额电票组成的票据包</w:t>
      </w:r>
      <w:r>
        <w:rPr>
          <w:rFonts w:hint="eastAsia" w:ascii="仿宋" w:hAnsi="仿宋" w:eastAsia="仿宋" w:cs="仿宋"/>
          <w:sz w:val="32"/>
          <w:szCs w:val="32"/>
        </w:rPr>
        <w:t>。</w:t>
      </w:r>
    </w:p>
    <w:p>
      <w:pPr>
        <w:widowControl/>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出票人如</w:t>
      </w:r>
      <w:r>
        <w:rPr>
          <w:rFonts w:hint="eastAsia" w:ascii="仿宋" w:hAnsi="仿宋" w:eastAsia="仿宋" w:cs="仿宋"/>
          <w:sz w:val="32"/>
          <w:szCs w:val="32"/>
        </w:rPr>
        <w:t>签发固定金额票据</w:t>
      </w:r>
      <w:r>
        <w:rPr>
          <w:rFonts w:hint="eastAsia" w:ascii="仿宋" w:hAnsi="仿宋" w:eastAsia="仿宋" w:cs="仿宋"/>
          <w:color w:val="000000"/>
          <w:kern w:val="0"/>
          <w:sz w:val="31"/>
          <w:szCs w:val="31"/>
          <w:lang w:bidi="ar"/>
        </w:rPr>
        <w:t>，</w:t>
      </w:r>
      <w:r>
        <w:rPr>
          <w:rFonts w:hint="eastAsia" w:ascii="仿宋" w:hAnsi="仿宋" w:eastAsia="仿宋" w:cs="仿宋"/>
          <w:bCs/>
          <w:color w:val="000000"/>
          <w:sz w:val="32"/>
          <w:szCs w:val="32"/>
          <w:lang w:bidi="ar"/>
        </w:rPr>
        <w:t>则票据在后续流转中不可分包；如</w:t>
      </w:r>
      <w:r>
        <w:rPr>
          <w:rFonts w:hint="eastAsia" w:ascii="仿宋" w:hAnsi="仿宋" w:eastAsia="仿宋" w:cs="仿宋"/>
          <w:sz w:val="32"/>
          <w:szCs w:val="32"/>
        </w:rPr>
        <w:t>签发</w:t>
      </w:r>
      <w:r>
        <w:rPr>
          <w:rFonts w:hint="eastAsia" w:ascii="仿宋_GB2312" w:hAnsi="仿宋" w:eastAsia="仿宋_GB2312"/>
          <w:bCs/>
          <w:sz w:val="32"/>
          <w:szCs w:val="32"/>
        </w:rPr>
        <w:t>由若干张标准金额电票组成的票据包</w:t>
      </w:r>
      <w:r>
        <w:rPr>
          <w:rFonts w:hint="eastAsia" w:ascii="仿宋" w:hAnsi="仿宋" w:eastAsia="仿宋" w:cs="仿宋"/>
          <w:bCs/>
          <w:color w:val="000000"/>
          <w:sz w:val="32"/>
          <w:szCs w:val="32"/>
          <w:lang w:bidi="ar"/>
        </w:rPr>
        <w:t>，</w:t>
      </w:r>
      <w:r>
        <w:rPr>
          <w:rFonts w:hint="eastAsia" w:ascii="仿宋" w:hAnsi="仿宋" w:eastAsia="仿宋"/>
          <w:sz w:val="32"/>
          <w:szCs w:val="32"/>
        </w:rPr>
        <w:t>持票人在办理票据的背书转让、贴现、保证、质押、存托、追索等业务时，可根据需要将持有的票据包</w:t>
      </w:r>
      <w:r>
        <w:rPr>
          <w:rFonts w:hint="eastAsia" w:ascii="仿宋" w:hAnsi="仿宋" w:eastAsia="仿宋" w:cs="仿宋"/>
          <w:sz w:val="32"/>
          <w:szCs w:val="32"/>
          <w:lang w:bidi="ar"/>
        </w:rPr>
        <w:t>按实际金额分包</w:t>
      </w:r>
      <w:r>
        <w:rPr>
          <w:rFonts w:hint="eastAsia" w:ascii="仿宋" w:hAnsi="仿宋" w:eastAsia="仿宋"/>
          <w:sz w:val="32"/>
          <w:szCs w:val="32"/>
        </w:rPr>
        <w:t>使用。</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4.出票日期应为出票人的参与者服务机构向票交所发送业务申请当天的日期。</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5.出票人可以在票据上记载“不得转让”标记。记载了“不得转让”标记的电票在交付收款人后不得继续背书。</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6.至票据的票面到期日前一日日终，已办理出票信息登记但未发起提示承兑的票据，票交所对票据作作废处理。</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w:t>
      </w:r>
      <w:r>
        <w:rPr>
          <w:rFonts w:ascii="仿宋" w:hAnsi="仿宋" w:eastAsia="仿宋" w:cs="仿宋"/>
          <w:bCs/>
          <w:color w:val="000000"/>
          <w:sz w:val="32"/>
          <w:szCs w:val="32"/>
          <w:lang w:bidi="ar"/>
        </w:rPr>
        <w:t>通过</w:t>
      </w:r>
      <w:r>
        <w:rPr>
          <w:rFonts w:hint="eastAsia" w:ascii="仿宋" w:hAnsi="仿宋" w:eastAsia="仿宋" w:cs="仿宋"/>
          <w:bCs/>
          <w:color w:val="000000"/>
          <w:sz w:val="32"/>
          <w:szCs w:val="32"/>
          <w:lang w:bidi="ar"/>
        </w:rPr>
        <w:t>参与者服务机构客户终端，</w:t>
      </w:r>
      <w:r>
        <w:rPr>
          <w:rFonts w:ascii="仿宋" w:hAnsi="仿宋" w:eastAsia="仿宋" w:cs="仿宋"/>
          <w:bCs/>
          <w:color w:val="000000"/>
          <w:sz w:val="32"/>
          <w:szCs w:val="32"/>
          <w:lang w:bidi="ar"/>
        </w:rPr>
        <w:t>发起出票</w:t>
      </w:r>
      <w:r>
        <w:rPr>
          <w:rFonts w:hint="eastAsia" w:ascii="仿宋" w:hAnsi="仿宋" w:eastAsia="仿宋" w:cs="仿宋"/>
          <w:bCs/>
          <w:color w:val="000000"/>
          <w:sz w:val="32"/>
          <w:szCs w:val="32"/>
          <w:lang w:bidi="ar"/>
        </w:rPr>
        <w:t>信息登记。登记信息包括：</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（1）票据介质、票据种类、票据来源、出票日期、票据到期日、票据（包）金额、标准金额。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（2）出票人要素信息；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（3）承兑人要素信息；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（4）收款人要素信息；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（5）出票人的签章标记、电子签名；</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（6）业务申请日期、业务种类（“出票信息登记”）、不得转让标记（“不得转让”、“可再转让”）、是否允许分包流转、业务批次号；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（7）备注。</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出票人的参与者服务机构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发送登记信息</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票交所向出票人的参与者服务机构反馈处理结果。出票信息登记完成的，</w:t>
      </w:r>
      <w:r>
        <w:rPr>
          <w:rFonts w:ascii="仿宋" w:hAnsi="仿宋" w:eastAsia="仿宋" w:cs="仿宋"/>
          <w:bCs/>
          <w:color w:val="000000"/>
          <w:sz w:val="32"/>
          <w:szCs w:val="32"/>
          <w:lang w:bidi="ar"/>
        </w:rPr>
        <w:t>票交所生成包含多张标准金额票据的票据包，分配票据（包）号、子票区间等信息。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出票人的参与者服务机构收到票交所反馈的处理结果和</w:t>
      </w:r>
      <w:r>
        <w:rPr>
          <w:rFonts w:ascii="仿宋" w:hAnsi="仿宋" w:eastAsia="仿宋" w:cs="仿宋"/>
          <w:bCs/>
          <w:color w:val="000000"/>
          <w:sz w:val="32"/>
          <w:szCs w:val="32"/>
          <w:lang w:bidi="ar"/>
        </w:rPr>
        <w:t>票据（包）号、子票区间等信息</w:t>
      </w:r>
      <w:r>
        <w:rPr>
          <w:rFonts w:hint="eastAsia" w:ascii="仿宋" w:hAnsi="仿宋" w:eastAsia="仿宋" w:cs="仿宋"/>
          <w:bCs/>
          <w:color w:val="000000"/>
          <w:sz w:val="32"/>
          <w:szCs w:val="32"/>
          <w:lang w:bidi="ar"/>
        </w:rPr>
        <w:t>，通知出票人。</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rPr>
      </w:pPr>
      <w:bookmarkStart w:id="411" w:name="_Toc25187"/>
      <w:bookmarkStart w:id="412" w:name="_Toc25581"/>
      <w:bookmarkStart w:id="413" w:name="_Toc12294"/>
      <w:bookmarkStart w:id="414" w:name="_Toc30390"/>
      <w:bookmarkStart w:id="415" w:name="_Toc27972"/>
      <w:bookmarkStart w:id="416" w:name="_Toc25952"/>
      <w:bookmarkStart w:id="417" w:name="_Toc5658"/>
      <w:bookmarkStart w:id="418" w:name="_Toc1604370001"/>
      <w:bookmarkStart w:id="419" w:name="_Toc30640"/>
      <w:bookmarkStart w:id="420" w:name="_Toc3698"/>
      <w:bookmarkStart w:id="421" w:name="_Toc24681"/>
      <w:bookmarkStart w:id="422" w:name="_Toc17575"/>
      <w:bookmarkStart w:id="423" w:name="_Toc28417"/>
      <w:bookmarkStart w:id="424" w:name="_Toc28512"/>
      <w:bookmarkStart w:id="425" w:name="_Toc24100"/>
      <w:bookmarkStart w:id="426" w:name="_Toc12597"/>
      <w:bookmarkStart w:id="427" w:name="_Toc21072"/>
      <w:r>
        <w:rPr>
          <w:rFonts w:hint="eastAsia" w:ascii="仿宋" w:hAnsi="仿宋" w:eastAsia="仿宋" w:cs="仿宋"/>
          <w:b/>
          <w:sz w:val="32"/>
          <w:szCs w:val="32"/>
        </w:rPr>
        <w:t>2.2.2 提示承兑</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lang w:bidi="ar"/>
        </w:rPr>
        <w:t>提示承兑是指出票人出示</w:t>
      </w: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，并要求付款人承诺付款的行为。</w:t>
      </w:r>
      <w:r>
        <w:rPr>
          <w:rFonts w:hint="eastAsia" w:ascii="仿宋" w:hAnsi="仿宋" w:eastAsia="仿宋"/>
          <w:sz w:val="32"/>
          <w:szCs w:val="32"/>
        </w:rPr>
        <w:t>出票人办理电票的提示承兑，应通过票交所发起提示承兑申请，由承兑人作出应答。</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已完成出票信息登记的票据，可以发起提示承兑。</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提示承兑金额等于出票信息登记的票据（包）金额，子票区间与出票信息登记后票交所返回的子票区间一致。</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bCs/>
          <w:color w:val="000000"/>
          <w:sz w:val="32"/>
          <w:szCs w:val="32"/>
          <w:lang w:bidi="ar"/>
        </w:rPr>
        <w:t>提示承兑应在票据到期日前完成</w:t>
      </w:r>
      <w:r>
        <w:rPr>
          <w:rFonts w:hint="eastAsia" w:ascii="仿宋" w:hAnsi="仿宋" w:eastAsia="仿宋" w:cs="仿宋"/>
          <w:bCs/>
          <w:color w:val="000000"/>
          <w:sz w:val="32"/>
          <w:szCs w:val="32"/>
          <w:lang w:eastAsia="zh-CN" w:bidi="ar"/>
        </w:rPr>
        <w:t>，</w:t>
      </w:r>
      <w:r>
        <w:rPr>
          <w:rFonts w:hint="eastAsia" w:ascii="仿宋" w:hAnsi="仿宋" w:eastAsia="仿宋" w:cs="仿宋"/>
          <w:bCs/>
          <w:color w:val="000000"/>
          <w:sz w:val="32"/>
          <w:szCs w:val="32"/>
          <w:lang w:bidi="ar"/>
        </w:rPr>
        <w:t>票据的票面到期日前一日日终仍未完成提示承兑的票据，票交所对提示承兑申请作清退处理，并对票据作作废处理。</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出票人通过参与者服务机构客户终端，选择要提示承兑的票据（包），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提示承兑</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（4）业务申请日期、业务种类（“提示承兑”）、业务批次号；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（5）到期无条件支付委托；</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出票人的参与者服务机构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，并向出票人提示业务申请的处理结果</w:t>
      </w:r>
      <w:r>
        <w:rPr>
          <w:rFonts w:ascii="仿宋" w:hAnsi="仿宋" w:eastAsia="仿宋" w:cs="仿宋"/>
          <w:bCs/>
          <w:color w:val="000000"/>
          <w:sz w:val="32"/>
          <w:szCs w:val="32"/>
          <w:lang w:bidi="ar"/>
        </w:rPr>
        <w:t>。</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承兑人的参与者服务机构收到票交所转发的申请。如承兑人为企业等间接参与者，检查承兑人的名称、账号等信息，检查通过的，通知承兑人。</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检查不通过的，</w:t>
      </w:r>
      <w:r>
        <w:rPr>
          <w:rFonts w:hint="eastAsia" w:ascii="仿宋" w:hAnsi="仿宋" w:eastAsia="仿宋" w:cs="仿宋"/>
          <w:bCs/>
          <w:color w:val="000000"/>
          <w:sz w:val="32"/>
          <w:szCs w:val="32"/>
          <w:lang w:bidi="ar"/>
        </w:rPr>
        <w:t>承兑人的参与者服务机构</w:t>
      </w:r>
      <w:r>
        <w:rPr>
          <w:rFonts w:hint="eastAsia" w:ascii="仿宋" w:hAnsi="仿宋" w:eastAsia="仿宋" w:cs="仿宋"/>
          <w:sz w:val="32"/>
          <w:szCs w:val="32"/>
        </w:rPr>
        <w:t>向票交所返回处理失败结果。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4.</w:t>
      </w:r>
      <w:r>
        <w:rPr>
          <w:rFonts w:hint="eastAsia" w:ascii="仿宋" w:hAnsi="仿宋" w:eastAsia="仿宋" w:cs="仿宋"/>
          <w:sz w:val="32"/>
          <w:szCs w:val="32"/>
        </w:rPr>
        <w:t>票据的票面到期日前（不含到期日），出票人可以撤销待应答的提示承兑申请。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承兑人对收到的提示承兑申请进行应答（同意或拒绝）。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承兑人的参与者服务机构向票交所发送承兑人应答结果，并向承兑人提示处理结果。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出票人的参与者服务机构收到票交所转发的应答结果，通知出票人。</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rPr>
      </w:pPr>
      <w:bookmarkStart w:id="428" w:name="_Toc27787"/>
      <w:bookmarkStart w:id="429" w:name="_Toc31582"/>
      <w:bookmarkStart w:id="430" w:name="_Toc16594"/>
      <w:bookmarkStart w:id="431" w:name="_Toc7213"/>
      <w:bookmarkStart w:id="432" w:name="_Toc30873"/>
      <w:bookmarkStart w:id="433" w:name="_Toc24346"/>
      <w:bookmarkStart w:id="434" w:name="_Toc13894"/>
      <w:bookmarkStart w:id="435" w:name="_Toc19588"/>
      <w:bookmarkStart w:id="436" w:name="_Toc256404853"/>
      <w:bookmarkStart w:id="437" w:name="_Toc18509"/>
      <w:bookmarkStart w:id="438" w:name="_Toc25973"/>
      <w:bookmarkStart w:id="439" w:name="_Toc15833"/>
      <w:bookmarkStart w:id="440" w:name="_Toc31567"/>
      <w:bookmarkStart w:id="441" w:name="_Toc29947"/>
      <w:bookmarkStart w:id="442" w:name="_Toc22753"/>
      <w:bookmarkStart w:id="443" w:name="_Toc31397"/>
      <w:bookmarkStart w:id="444" w:name="_Toc1411"/>
      <w:r>
        <w:rPr>
          <w:rFonts w:hint="eastAsia" w:ascii="仿宋" w:hAnsi="仿宋" w:eastAsia="仿宋" w:cs="仿宋"/>
          <w:b/>
          <w:sz w:val="32"/>
          <w:szCs w:val="32"/>
        </w:rPr>
        <w:t>2.2.3 提示收票</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出票人向收款人交付电票，应通过票交所发起提示收票申请，由收款人作出应答。</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已承兑的票据，可以发起提示收票。</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提示收票金额等于出票信息登记的票据（包）金额，子票区间与出票信息登记后票交所返回的子票区间一致。</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bCs/>
          <w:color w:val="000000"/>
          <w:sz w:val="32"/>
          <w:szCs w:val="32"/>
          <w:lang w:bidi="ar"/>
        </w:rPr>
        <w:t>供应链票据</w:t>
      </w:r>
      <w:r>
        <w:rPr>
          <w:rFonts w:hint="eastAsia" w:ascii="仿宋" w:hAnsi="仿宋" w:eastAsia="仿宋" w:cs="仿宋"/>
          <w:bCs/>
          <w:color w:val="000000"/>
          <w:sz w:val="32"/>
          <w:szCs w:val="32"/>
          <w:lang w:eastAsia="zh-Hans" w:bidi="ar"/>
        </w:rPr>
        <w:t>应</w:t>
      </w:r>
      <w:r>
        <w:rPr>
          <w:rFonts w:hint="eastAsia" w:ascii="仿宋" w:hAnsi="仿宋" w:eastAsia="仿宋" w:cs="仿宋"/>
          <w:bCs/>
          <w:color w:val="000000"/>
          <w:sz w:val="32"/>
          <w:szCs w:val="32"/>
          <w:lang w:bidi="ar"/>
        </w:rPr>
        <w:t>登记出票人与收款人之间交易关系信息</w:t>
      </w:r>
      <w:r>
        <w:rPr>
          <w:rFonts w:hint="eastAsia" w:ascii="仿宋" w:hAnsi="仿宋" w:eastAsia="仿宋" w:cs="仿宋"/>
          <w:bCs/>
          <w:color w:val="000000"/>
          <w:sz w:val="32"/>
          <w:szCs w:val="32"/>
          <w:lang w:eastAsia="zh-Hans" w:bidi="ar"/>
        </w:rPr>
        <w:t>。未登记交易关系信息的，</w:t>
      </w:r>
      <w:r>
        <w:rPr>
          <w:rFonts w:hint="eastAsia" w:ascii="仿宋" w:hAnsi="仿宋" w:eastAsia="仿宋" w:cs="仿宋"/>
          <w:bCs/>
          <w:color w:val="000000"/>
          <w:sz w:val="32"/>
          <w:szCs w:val="32"/>
          <w:lang w:bidi="ar"/>
        </w:rPr>
        <w:t>不可办理提示收票的同意应答</w:t>
      </w:r>
      <w:r>
        <w:rPr>
          <w:rFonts w:hint="eastAsia" w:ascii="仿宋" w:hAnsi="仿宋" w:eastAsia="仿宋" w:cs="仿宋"/>
          <w:sz w:val="32"/>
          <w:szCs w:val="32"/>
        </w:rPr>
        <w:t>（交易关系信息登记具体规则和流程详见本指南第“2.12 交易关系信息登记”章节）</w:t>
      </w:r>
      <w:r>
        <w:rPr>
          <w:rFonts w:hint="eastAsia" w:ascii="仿宋" w:hAnsi="仿宋" w:eastAsia="仿宋" w:cs="仿宋"/>
          <w:bCs/>
          <w:color w:val="000000"/>
          <w:sz w:val="32"/>
          <w:szCs w:val="32"/>
          <w:lang w:bidi="ar"/>
        </w:rPr>
        <w:t xml:space="preserve">。 </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4.</w:t>
      </w:r>
      <w:r>
        <w:rPr>
          <w:rFonts w:hint="eastAsia" w:ascii="仿宋" w:hAnsi="仿宋" w:eastAsia="仿宋" w:cs="仿宋"/>
          <w:bCs/>
          <w:color w:val="000000"/>
          <w:sz w:val="32"/>
          <w:szCs w:val="32"/>
          <w:lang w:bidi="ar"/>
        </w:rPr>
        <w:t>提示收票应在票据到期日前完成，票据的票面到期日前一日日终仍未完成提示收票的票据，票交所对提示收票申请作清退处理，并对票据作作废处理。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hint="eastAsia" w:ascii="仿宋" w:hAnsi="仿宋" w:eastAsia="仿宋" w:cs="仿宋"/>
          <w:sz w:val="32"/>
          <w:szCs w:val="32"/>
        </w:rPr>
        <w:t>已冻结票据不可办理提示收票。</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出票人通过参与者服务机构客户终端，选择要提示收票的票据（包），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提示收票</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（4）业务申请日期、业务种类（“提示收票”）、业务批次号；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出票人的参与者服务机构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，并向出票人提示业务申请的处理结果</w:t>
      </w:r>
      <w:r>
        <w:rPr>
          <w:rFonts w:ascii="仿宋" w:hAnsi="仿宋" w:eastAsia="仿宋" w:cs="仿宋"/>
          <w:bCs/>
          <w:color w:val="000000"/>
          <w:sz w:val="32"/>
          <w:szCs w:val="32"/>
          <w:lang w:bidi="ar"/>
        </w:rPr>
        <w:t>。</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收款人的参与者服务机构收到票交所转发的申请，检查收款人的名称、账号等信息，检查通过的，通知收款人。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检查不通过的，向票交所返回处理失败结果。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Cs/>
          <w:color w:val="000000"/>
          <w:sz w:val="32"/>
          <w:szCs w:val="32"/>
          <w:lang w:bidi="ar"/>
        </w:rPr>
        <w:t>.</w:t>
      </w:r>
      <w:r>
        <w:rPr>
          <w:rFonts w:hint="eastAsia" w:ascii="仿宋" w:hAnsi="仿宋" w:eastAsia="仿宋" w:cs="仿宋"/>
          <w:sz w:val="32"/>
          <w:szCs w:val="32"/>
        </w:rPr>
        <w:t>票据的票面到期日前（不含到期日），出票人可以撤销待应答的提示收票申请。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收款人对收到的提示收票申请进行应答（同意或拒绝）。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收款人的参与者服务机构向票交所发送收款人应答结果，并向收款人提示处理结果。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出票人的参与者服务机构收到票交所转发的应答结果，通知出票人。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8.提示收票应答同意的票据，票交所办理权属初始登记。</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rPr>
      </w:pPr>
      <w:bookmarkStart w:id="445" w:name="_Toc12807"/>
      <w:bookmarkStart w:id="446" w:name="_Toc212852997"/>
      <w:bookmarkStart w:id="447" w:name="_Toc32112"/>
      <w:bookmarkStart w:id="448" w:name="_Toc29143"/>
      <w:bookmarkStart w:id="449" w:name="_Toc6248"/>
      <w:bookmarkStart w:id="450" w:name="_Toc10899"/>
      <w:bookmarkStart w:id="451" w:name="_Toc19442"/>
      <w:bookmarkStart w:id="452" w:name="_Toc29410"/>
      <w:bookmarkStart w:id="453" w:name="_Toc22415"/>
      <w:bookmarkStart w:id="454" w:name="_Toc14577"/>
      <w:bookmarkStart w:id="455" w:name="_Toc14642"/>
      <w:bookmarkStart w:id="456" w:name="_Toc5550"/>
      <w:bookmarkStart w:id="457" w:name="_Toc26888"/>
      <w:bookmarkStart w:id="458" w:name="_Toc27710"/>
      <w:bookmarkStart w:id="459" w:name="_Toc2343"/>
      <w:bookmarkStart w:id="460" w:name="_Toc26761"/>
      <w:bookmarkStart w:id="461" w:name="_Toc30573"/>
      <w:r>
        <w:rPr>
          <w:rFonts w:hint="eastAsia" w:ascii="仿宋" w:hAnsi="仿宋" w:eastAsia="仿宋" w:cs="仿宋"/>
          <w:b/>
          <w:sz w:val="32"/>
          <w:szCs w:val="32"/>
        </w:rPr>
        <w:t>2.2.4 撤票</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出票人在电票出票信息登记成功后、收款人对提示收票申请应答同意前，可以对电票作未用退回处理（简称撤票）。</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0"/>
          <w:numId w:val="9"/>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票据完成出票信息登记后，且未完成提示收票（包括出票信息已登记、出票保证待应答、提示承兑待应答、提示承兑已应答、承兑保证待应答、提示收票待应答），可以发起撤票申请。</w:t>
      </w:r>
    </w:p>
    <w:p>
      <w:pPr>
        <w:numPr>
          <w:ilvl w:val="0"/>
          <w:numId w:val="9"/>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如有未应答的提示承兑、提示收票和保证申请业务，应先</w:t>
      </w:r>
      <w:r>
        <w:rPr>
          <w:rFonts w:hint="eastAsia" w:ascii="仿宋" w:hAnsi="仿宋" w:eastAsia="仿宋" w:cs="仿宋"/>
          <w:bCs/>
          <w:color w:val="000000"/>
          <w:sz w:val="32"/>
          <w:szCs w:val="32"/>
          <w:lang w:eastAsia="zh-Hans" w:bidi="ar"/>
        </w:rPr>
        <w:t>撤销</w:t>
      </w:r>
      <w:r>
        <w:rPr>
          <w:rFonts w:hint="eastAsia" w:ascii="仿宋" w:hAnsi="仿宋" w:eastAsia="仿宋" w:cs="仿宋"/>
          <w:sz w:val="32"/>
          <w:szCs w:val="32"/>
        </w:rPr>
        <w:t>待应答的申请。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撤票金额等于出票信息登记的票据（包）金额，子票区间与出票信息登记后票交所返回的子票区间一致。</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出票人通过参与者服务机构客户终端，选择要办理未用退回的票据（包），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撤票</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（4）业务申请日期、业务种类（“撤票申请”）、业务批次号；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出票人参与者服务机构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，并在收到票交所反馈的处理结果后，通知出票人</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.如票据已</w:t>
      </w:r>
      <w:r>
        <w:rPr>
          <w:rFonts w:hint="eastAsia" w:ascii="仿宋" w:hAnsi="仿宋" w:eastAsia="仿宋" w:cs="仿宋"/>
          <w:bCs/>
          <w:color w:val="000000"/>
          <w:sz w:val="32"/>
          <w:szCs w:val="32"/>
          <w:lang w:bidi="ar"/>
        </w:rPr>
        <w:t>完成提示承兑，票交所将撤票结果通知承兑人</w:t>
      </w:r>
      <w:r>
        <w:rPr>
          <w:rFonts w:ascii="仿宋" w:hAnsi="仿宋" w:eastAsia="仿宋" w:cs="仿宋"/>
          <w:bCs/>
          <w:color w:val="000000"/>
          <w:sz w:val="32"/>
          <w:szCs w:val="32"/>
          <w:lang w:bidi="ar"/>
        </w:rPr>
        <w:t>的</w:t>
      </w:r>
      <w:r>
        <w:rPr>
          <w:rFonts w:hint="eastAsia" w:ascii="仿宋" w:hAnsi="仿宋" w:eastAsia="仿宋" w:cs="仿宋"/>
          <w:bCs/>
          <w:color w:val="000000"/>
          <w:sz w:val="32"/>
          <w:szCs w:val="32"/>
          <w:lang w:bidi="ar"/>
        </w:rPr>
        <w:t>参与者服务机构</w:t>
      </w:r>
      <w:r>
        <w:rPr>
          <w:rFonts w:ascii="仿宋" w:hAnsi="仿宋" w:eastAsia="仿宋" w:cs="仿宋"/>
          <w:bCs/>
          <w:color w:val="000000"/>
          <w:sz w:val="32"/>
          <w:szCs w:val="32"/>
          <w:lang w:bidi="ar"/>
        </w:rPr>
        <w:t>，由</w:t>
      </w:r>
      <w:r>
        <w:rPr>
          <w:rFonts w:hint="eastAsia" w:ascii="仿宋" w:hAnsi="仿宋" w:eastAsia="仿宋" w:cs="仿宋"/>
          <w:bCs/>
          <w:color w:val="000000"/>
          <w:sz w:val="32"/>
          <w:szCs w:val="32"/>
          <w:lang w:bidi="ar"/>
        </w:rPr>
        <w:t>参与者服务机构</w:t>
      </w:r>
      <w:r>
        <w:rPr>
          <w:rFonts w:ascii="仿宋" w:hAnsi="仿宋" w:eastAsia="仿宋" w:cs="仿宋"/>
          <w:bCs/>
          <w:color w:val="000000"/>
          <w:sz w:val="32"/>
          <w:szCs w:val="32"/>
          <w:lang w:bidi="ar"/>
        </w:rPr>
        <w:t>通知</w:t>
      </w:r>
      <w:r>
        <w:rPr>
          <w:rFonts w:hint="eastAsia" w:ascii="仿宋" w:hAnsi="仿宋" w:eastAsia="仿宋" w:cs="仿宋"/>
          <w:bCs/>
          <w:color w:val="000000"/>
          <w:sz w:val="32"/>
          <w:szCs w:val="32"/>
          <w:lang w:bidi="ar"/>
        </w:rPr>
        <w:t>承兑</w:t>
      </w:r>
      <w:r>
        <w:rPr>
          <w:rFonts w:ascii="仿宋" w:hAnsi="仿宋" w:eastAsia="仿宋" w:cs="仿宋"/>
          <w:bCs/>
          <w:color w:val="000000"/>
          <w:sz w:val="32"/>
          <w:szCs w:val="32"/>
          <w:lang w:bidi="ar"/>
        </w:rPr>
        <w:t>人</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如票据已完成</w:t>
      </w:r>
      <w:r>
        <w:rPr>
          <w:rFonts w:ascii="仿宋" w:hAnsi="仿宋" w:eastAsia="仿宋" w:cs="仿宋"/>
          <w:bCs/>
          <w:color w:val="000000"/>
          <w:sz w:val="32"/>
          <w:szCs w:val="32"/>
          <w:lang w:bidi="ar"/>
        </w:rPr>
        <w:t>出票保证、承兑保证，票交所同时将撤票结果</w:t>
      </w:r>
      <w:r>
        <w:rPr>
          <w:rFonts w:hint="eastAsia" w:ascii="仿宋" w:hAnsi="仿宋" w:eastAsia="仿宋" w:cs="仿宋"/>
          <w:bCs/>
          <w:color w:val="000000"/>
          <w:sz w:val="32"/>
          <w:szCs w:val="32"/>
          <w:lang w:bidi="ar"/>
        </w:rPr>
        <w:t>通知</w:t>
      </w:r>
      <w:r>
        <w:rPr>
          <w:rFonts w:ascii="仿宋" w:hAnsi="仿宋" w:eastAsia="仿宋" w:cs="仿宋"/>
          <w:bCs/>
          <w:color w:val="000000"/>
          <w:sz w:val="32"/>
          <w:szCs w:val="32"/>
          <w:lang w:bidi="ar"/>
        </w:rPr>
        <w:t>保证人的</w:t>
      </w:r>
      <w:r>
        <w:rPr>
          <w:rFonts w:hint="eastAsia" w:ascii="仿宋" w:hAnsi="仿宋" w:eastAsia="仿宋" w:cs="仿宋"/>
          <w:bCs/>
          <w:color w:val="000000"/>
          <w:sz w:val="32"/>
          <w:szCs w:val="32"/>
          <w:lang w:bidi="ar"/>
        </w:rPr>
        <w:t>参与者服务机构</w:t>
      </w:r>
      <w:r>
        <w:rPr>
          <w:rFonts w:ascii="仿宋" w:hAnsi="仿宋" w:eastAsia="仿宋" w:cs="仿宋"/>
          <w:bCs/>
          <w:color w:val="000000"/>
          <w:sz w:val="32"/>
          <w:szCs w:val="32"/>
          <w:lang w:bidi="ar"/>
        </w:rPr>
        <w:t>，由</w:t>
      </w:r>
      <w:r>
        <w:rPr>
          <w:rFonts w:hint="eastAsia" w:ascii="仿宋" w:hAnsi="仿宋" w:eastAsia="仿宋" w:cs="仿宋"/>
          <w:bCs/>
          <w:color w:val="000000"/>
          <w:sz w:val="32"/>
          <w:szCs w:val="32"/>
          <w:lang w:bidi="ar"/>
        </w:rPr>
        <w:t>参与者服务机构</w:t>
      </w:r>
      <w:r>
        <w:rPr>
          <w:rFonts w:ascii="仿宋" w:hAnsi="仿宋" w:eastAsia="仿宋" w:cs="仿宋"/>
          <w:bCs/>
          <w:color w:val="000000"/>
          <w:sz w:val="32"/>
          <w:szCs w:val="32"/>
          <w:lang w:bidi="ar"/>
        </w:rPr>
        <w:t>通知</w:t>
      </w:r>
      <w:r>
        <w:rPr>
          <w:rFonts w:hint="eastAsia" w:ascii="仿宋" w:hAnsi="仿宋" w:eastAsia="仿宋" w:cs="仿宋"/>
          <w:bCs/>
          <w:color w:val="000000"/>
          <w:sz w:val="32"/>
          <w:szCs w:val="32"/>
          <w:lang w:bidi="ar"/>
        </w:rPr>
        <w:t>保证</w:t>
      </w:r>
      <w:r>
        <w:rPr>
          <w:rFonts w:ascii="仿宋" w:hAnsi="仿宋" w:eastAsia="仿宋" w:cs="仿宋"/>
          <w:bCs/>
          <w:color w:val="000000"/>
          <w:sz w:val="32"/>
          <w:szCs w:val="32"/>
          <w:lang w:bidi="ar"/>
        </w:rPr>
        <w:t xml:space="preserve">人。 </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1"/>
        <w:rPr>
          <w:rFonts w:ascii="仿宋" w:hAnsi="仿宋" w:eastAsia="仿宋" w:cs="仿宋"/>
          <w:b/>
          <w:sz w:val="32"/>
          <w:szCs w:val="32"/>
        </w:rPr>
      </w:pPr>
      <w:bookmarkStart w:id="462" w:name="_Toc1812"/>
      <w:bookmarkStart w:id="463" w:name="_Toc254"/>
      <w:bookmarkStart w:id="464" w:name="_Toc11908"/>
      <w:bookmarkStart w:id="465" w:name="_Toc26393"/>
      <w:bookmarkStart w:id="466" w:name="_Toc24249"/>
      <w:bookmarkStart w:id="467" w:name="_Toc18285"/>
      <w:bookmarkStart w:id="468" w:name="_Toc20996"/>
      <w:bookmarkStart w:id="469" w:name="_Toc3932"/>
      <w:bookmarkStart w:id="470" w:name="_Toc1202"/>
      <w:bookmarkStart w:id="471" w:name="_Toc14750"/>
      <w:bookmarkStart w:id="472" w:name="_Toc22424"/>
      <w:bookmarkStart w:id="473" w:name="_Toc2038"/>
      <w:bookmarkStart w:id="474" w:name="_Toc1941777674"/>
      <w:bookmarkStart w:id="475" w:name="_Toc32274"/>
      <w:bookmarkStart w:id="476" w:name="_Toc12668"/>
      <w:bookmarkStart w:id="477" w:name="_Toc31379"/>
      <w:bookmarkStart w:id="478" w:name="_Toc32087"/>
      <w:r>
        <w:rPr>
          <w:rFonts w:hint="eastAsia" w:ascii="仿宋" w:hAnsi="仿宋" w:eastAsia="仿宋" w:cs="仿宋"/>
          <w:b/>
          <w:sz w:val="32"/>
          <w:szCs w:val="32"/>
        </w:rPr>
        <w:t>2.3 保证</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numPr>
          <w:ilvl w:val="255"/>
          <w:numId w:val="0"/>
        </w:numPr>
        <w:tabs>
          <w:tab w:val="left" w:pos="2696"/>
        </w:tabs>
        <w:spacing w:line="590" w:lineRule="exact"/>
        <w:ind w:firstLine="640" w:firstLineChars="200"/>
      </w:pPr>
      <w:r>
        <w:rPr>
          <w:rFonts w:hint="eastAsia" w:ascii="仿宋" w:hAnsi="仿宋" w:eastAsia="仿宋" w:cs="仿宋"/>
          <w:sz w:val="32"/>
          <w:szCs w:val="32"/>
          <w:lang w:bidi="ar"/>
        </w:rPr>
        <w:t>保证指</w:t>
      </w: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上记载的债务人以外的第三人保证该票据获得付款的票据行为。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保证可以分为出票保证、承兑保证、背书保证和贴现保证。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出票保证是在票据完成出票信息登记后、提示承兑前，出票人发起保证申请，保证人作出保证。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承兑保证是在票据完成提示承兑后、提示收票前，承兑人发起保证申请，保证人作出保证。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背书保证是在票据完成提示收票后、贴现前，持票人发起保证申请，保证人作出保证。</w:t>
      </w:r>
    </w:p>
    <w:p>
      <w:pPr>
        <w:numPr>
          <w:ilvl w:val="255"/>
          <w:numId w:val="0"/>
        </w:numPr>
        <w:tabs>
          <w:tab w:val="left" w:pos="2696"/>
        </w:tabs>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贴现保证是在票据完成贴现后、首次交易或质押前，贴入人发起保证申请，保证人作出保证。</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255"/>
          <w:numId w:val="0"/>
        </w:numPr>
        <w:tabs>
          <w:tab w:val="left" w:pos="2696"/>
        </w:tabs>
        <w:spacing w:line="590" w:lineRule="exact"/>
        <w:ind w:firstLine="640" w:firstLineChars="200"/>
        <w:rPr>
          <w:rFonts w:ascii="仿宋" w:hAnsi="仿宋" w:eastAsia="仿宋" w:cs="仿宋"/>
          <w:sz w:val="32"/>
          <w:szCs w:val="32"/>
          <w:lang w:bidi="ar"/>
        </w:rPr>
      </w:pPr>
      <w:r>
        <w:rPr>
          <w:rFonts w:hint="eastAsia" w:ascii="仿宋" w:hAnsi="仿宋" w:eastAsia="仿宋" w:cs="仿宋"/>
          <w:bCs/>
          <w:color w:val="000000"/>
          <w:sz w:val="32"/>
          <w:szCs w:val="32"/>
          <w:lang w:bidi="ar"/>
        </w:rPr>
        <w:t>1.票</w:t>
      </w:r>
      <w:r>
        <w:rPr>
          <w:rFonts w:hint="eastAsia" w:ascii="仿宋" w:hAnsi="仿宋" w:eastAsia="仿宋" w:cs="仿宋"/>
          <w:sz w:val="32"/>
          <w:szCs w:val="32"/>
          <w:lang w:eastAsia="zh-Hans" w:bidi="ar"/>
        </w:rPr>
        <w:t>据</w:t>
      </w:r>
      <w:r>
        <w:rPr>
          <w:rFonts w:hint="eastAsia" w:ascii="仿宋" w:hAnsi="仿宋" w:eastAsia="仿宋" w:cs="仿宋"/>
          <w:sz w:val="32"/>
          <w:szCs w:val="32"/>
          <w:lang w:bidi="ar"/>
        </w:rPr>
        <w:t>获得承兑前，出票人发起保证申请、保证人作出保证的，被保证人为出票人。</w:t>
      </w:r>
    </w:p>
    <w:p>
      <w:pPr>
        <w:numPr>
          <w:ilvl w:val="255"/>
          <w:numId w:val="0"/>
        </w:numPr>
        <w:tabs>
          <w:tab w:val="left" w:pos="2696"/>
        </w:tabs>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获得承兑后、出票人将</w:t>
      </w: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交付收款人前，承兑人发起保证申请、保证人作出保证的，被保证人为承兑人。</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出票人将</w:t>
      </w: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交付收款人后、</w:t>
      </w:r>
      <w:r>
        <w:rPr>
          <w:rFonts w:hint="eastAsia" w:ascii="仿宋" w:hAnsi="仿宋" w:eastAsia="仿宋" w:cs="仿宋"/>
          <w:sz w:val="32"/>
          <w:szCs w:val="32"/>
          <w:lang w:eastAsia="zh-Hans" w:bidi="ar"/>
        </w:rPr>
        <w:t>持票人</w:t>
      </w:r>
      <w:r>
        <w:rPr>
          <w:rFonts w:hint="eastAsia" w:ascii="仿宋" w:hAnsi="仿宋" w:eastAsia="仿宋" w:cs="仿宋"/>
          <w:sz w:val="32"/>
          <w:szCs w:val="32"/>
          <w:lang w:bidi="ar"/>
        </w:rPr>
        <w:t>办理贴现前，持票人发起保证申请、保证人作出保证的，被保证人为持票人。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票据在完成贴现后、办理</w:t>
      </w:r>
      <w:r>
        <w:rPr>
          <w:rFonts w:hint="eastAsia" w:ascii="仿宋" w:hAnsi="仿宋" w:eastAsia="仿宋" w:cs="仿宋"/>
          <w:bCs/>
          <w:color w:val="000000"/>
          <w:sz w:val="32"/>
          <w:szCs w:val="32"/>
          <w:lang w:eastAsia="zh-Hans" w:bidi="ar"/>
        </w:rPr>
        <w:t>首次</w:t>
      </w:r>
      <w:r>
        <w:rPr>
          <w:rFonts w:hint="eastAsia" w:ascii="仿宋" w:hAnsi="仿宋" w:eastAsia="仿宋" w:cs="仿宋"/>
          <w:bCs/>
          <w:color w:val="000000"/>
          <w:sz w:val="32"/>
          <w:szCs w:val="32"/>
          <w:lang w:bidi="ar"/>
        </w:rPr>
        <w:t>交易</w:t>
      </w:r>
      <w:r>
        <w:rPr>
          <w:rFonts w:hint="eastAsia" w:ascii="仿宋" w:hAnsi="仿宋" w:eastAsia="仿宋" w:cs="仿宋"/>
          <w:bCs/>
          <w:color w:val="000000"/>
          <w:sz w:val="32"/>
          <w:szCs w:val="32"/>
          <w:lang w:eastAsia="zh-Hans" w:bidi="ar"/>
        </w:rPr>
        <w:t>或</w:t>
      </w:r>
      <w:r>
        <w:rPr>
          <w:rFonts w:hint="eastAsia" w:ascii="仿宋" w:hAnsi="仿宋" w:eastAsia="仿宋" w:cs="仿宋"/>
          <w:bCs/>
          <w:color w:val="000000"/>
          <w:sz w:val="32"/>
          <w:szCs w:val="32"/>
          <w:lang w:bidi="ar"/>
        </w:rPr>
        <w:t>质押前，</w:t>
      </w:r>
      <w:r>
        <w:rPr>
          <w:rFonts w:hint="eastAsia" w:ascii="仿宋" w:hAnsi="仿宋" w:eastAsia="仿宋" w:cs="仿宋"/>
          <w:sz w:val="32"/>
          <w:szCs w:val="32"/>
          <w:lang w:bidi="ar"/>
        </w:rPr>
        <w:t>贴入人发起保证申请、保证人作出保证的，被保证人为贴</w:t>
      </w:r>
      <w:r>
        <w:rPr>
          <w:rFonts w:hint="eastAsia" w:ascii="仿宋" w:hAnsi="仿宋" w:eastAsia="仿宋" w:cs="仿宋"/>
          <w:sz w:val="32"/>
          <w:szCs w:val="32"/>
          <w:lang w:eastAsia="zh-Hans" w:bidi="ar"/>
        </w:rPr>
        <w:t>入</w:t>
      </w:r>
      <w:r>
        <w:rPr>
          <w:rFonts w:hint="eastAsia" w:ascii="仿宋" w:hAnsi="仿宋" w:eastAsia="仿宋" w:cs="仿宋"/>
          <w:sz w:val="32"/>
          <w:szCs w:val="32"/>
          <w:lang w:bidi="ar"/>
        </w:rPr>
        <w:t>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2.保证人和被保证人不能为同一人。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保证人不能为出票人、承兑人、收款人以及其他前手历史背书人或其他保证人（质权人除外）。</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.除</w:t>
      </w:r>
      <w:r>
        <w:rPr>
          <w:rFonts w:hint="eastAsia" w:ascii="仿宋" w:hAnsi="仿宋" w:eastAsia="仿宋" w:cs="仿宋"/>
          <w:bCs/>
          <w:color w:val="000000"/>
          <w:sz w:val="32"/>
          <w:szCs w:val="32"/>
          <w:lang w:bidi="ar"/>
        </w:rPr>
        <w:t>贴入人</w:t>
      </w:r>
      <w:r>
        <w:rPr>
          <w:rFonts w:ascii="仿宋" w:hAnsi="仿宋" w:eastAsia="仿宋" w:cs="仿宋"/>
          <w:bCs/>
          <w:color w:val="000000"/>
          <w:sz w:val="32"/>
          <w:szCs w:val="32"/>
          <w:lang w:bidi="ar"/>
        </w:rPr>
        <w:t>作为被保证人的情况之外，同一被保证人可有多个保证人</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5.</w:t>
      </w:r>
      <w:r>
        <w:rPr>
          <w:rFonts w:hint="eastAsia" w:ascii="仿宋" w:hAnsi="仿宋" w:eastAsia="仿宋" w:cs="仿宋"/>
          <w:bCs/>
          <w:color w:val="000000"/>
          <w:sz w:val="32"/>
          <w:szCs w:val="32"/>
          <w:lang w:bidi="ar"/>
        </w:rPr>
        <w:t>被保证人不能同时向多个保证人发起保证申请，只有在收到保证申请应答或撤销保证申请后，才能向其他保证人发起保证申请。</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6.出票保证</w:t>
      </w: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承兑保证</w:t>
      </w:r>
      <w:r>
        <w:rPr>
          <w:rFonts w:hint="eastAsia" w:ascii="仿宋" w:hAnsi="仿宋" w:eastAsia="仿宋" w:cs="仿宋"/>
          <w:bCs/>
          <w:color w:val="000000"/>
          <w:sz w:val="32"/>
          <w:szCs w:val="32"/>
          <w:lang w:bidi="ar"/>
        </w:rPr>
        <w:t>和贴现保证业务</w:t>
      </w:r>
      <w:r>
        <w:rPr>
          <w:rFonts w:ascii="仿宋" w:hAnsi="仿宋" w:eastAsia="仿宋" w:cs="仿宋"/>
          <w:bCs/>
          <w:color w:val="000000"/>
          <w:sz w:val="32"/>
          <w:szCs w:val="32"/>
          <w:lang w:bidi="ar"/>
        </w:rPr>
        <w:t>的保证</w:t>
      </w:r>
      <w:r>
        <w:rPr>
          <w:rFonts w:hint="eastAsia" w:ascii="仿宋" w:hAnsi="仿宋" w:eastAsia="仿宋" w:cs="仿宋"/>
          <w:bCs/>
          <w:color w:val="000000"/>
          <w:sz w:val="32"/>
          <w:szCs w:val="32"/>
          <w:lang w:bidi="ar"/>
        </w:rPr>
        <w:t>申请</w:t>
      </w:r>
      <w:r>
        <w:rPr>
          <w:rFonts w:ascii="仿宋" w:hAnsi="仿宋" w:eastAsia="仿宋" w:cs="仿宋"/>
          <w:bCs/>
          <w:color w:val="000000"/>
          <w:sz w:val="32"/>
          <w:szCs w:val="32"/>
          <w:lang w:bidi="ar"/>
        </w:rPr>
        <w:t>金额</w:t>
      </w:r>
      <w:r>
        <w:rPr>
          <w:rFonts w:hint="eastAsia" w:ascii="仿宋" w:hAnsi="仿宋" w:eastAsia="仿宋" w:cs="仿宋"/>
          <w:bCs/>
          <w:color w:val="000000"/>
          <w:sz w:val="32"/>
          <w:szCs w:val="32"/>
          <w:lang w:bidi="ar"/>
        </w:rPr>
        <w:t>应</w:t>
      </w:r>
      <w:r>
        <w:rPr>
          <w:rFonts w:ascii="仿宋" w:hAnsi="仿宋" w:eastAsia="仿宋" w:cs="仿宋"/>
          <w:bCs/>
          <w:color w:val="000000"/>
          <w:sz w:val="32"/>
          <w:szCs w:val="32"/>
          <w:lang w:bidi="ar"/>
        </w:rPr>
        <w:t>等于票据</w:t>
      </w:r>
      <w:r>
        <w:rPr>
          <w:rFonts w:hint="eastAsia" w:ascii="仿宋" w:hAnsi="仿宋" w:eastAsia="仿宋" w:cs="仿宋"/>
          <w:bCs/>
          <w:color w:val="000000"/>
          <w:sz w:val="32"/>
          <w:szCs w:val="32"/>
          <w:lang w:bidi="ar"/>
        </w:rPr>
        <w:t>（包）</w:t>
      </w:r>
      <w:r>
        <w:rPr>
          <w:rFonts w:ascii="仿宋" w:hAnsi="仿宋" w:eastAsia="仿宋" w:cs="仿宋"/>
          <w:bCs/>
          <w:color w:val="000000"/>
          <w:sz w:val="32"/>
          <w:szCs w:val="32"/>
          <w:lang w:bidi="ar"/>
        </w:rPr>
        <w:t>金额</w:t>
      </w:r>
      <w:r>
        <w:rPr>
          <w:rFonts w:hint="eastAsia" w:ascii="仿宋" w:hAnsi="仿宋" w:eastAsia="仿宋" w:cs="仿宋"/>
          <w:bCs/>
          <w:color w:val="000000"/>
          <w:sz w:val="32"/>
          <w:szCs w:val="32"/>
          <w:lang w:bidi="ar"/>
        </w:rPr>
        <w:t>，子票区间与被保证人持有的票据（包）子票区间一致</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hint="eastAsia" w:ascii="仿宋" w:hAnsi="仿宋" w:eastAsia="仿宋" w:cs="仿宋"/>
          <w:sz w:val="32"/>
          <w:szCs w:val="32"/>
        </w:rPr>
        <w:t>票据（包）可分包的，</w:t>
      </w:r>
      <w:r>
        <w:rPr>
          <w:rFonts w:hint="eastAsia" w:ascii="仿宋" w:hAnsi="仿宋" w:eastAsia="仿宋" w:cs="仿宋"/>
          <w:bCs/>
          <w:color w:val="000000"/>
          <w:sz w:val="32"/>
          <w:szCs w:val="32"/>
          <w:lang w:bidi="ar"/>
        </w:rPr>
        <w:t>背书保证的</w:t>
      </w:r>
      <w:r>
        <w:rPr>
          <w:rFonts w:ascii="仿宋" w:hAnsi="仿宋" w:eastAsia="仿宋" w:cs="仿宋"/>
          <w:bCs/>
          <w:color w:val="000000"/>
          <w:sz w:val="32"/>
          <w:szCs w:val="32"/>
          <w:lang w:bidi="ar"/>
        </w:rPr>
        <w:t>保证金额可以小于或等于</w:t>
      </w:r>
      <w:r>
        <w:rPr>
          <w:rFonts w:hint="eastAsia" w:ascii="仿宋" w:hAnsi="仿宋" w:eastAsia="仿宋" w:cs="仿宋"/>
          <w:bCs/>
          <w:color w:val="000000"/>
          <w:sz w:val="32"/>
          <w:szCs w:val="32"/>
          <w:lang w:bidi="ar"/>
        </w:rPr>
        <w:t>被保证人</w:t>
      </w:r>
      <w:r>
        <w:rPr>
          <w:rFonts w:ascii="仿宋" w:hAnsi="仿宋" w:eastAsia="仿宋" w:cs="仿宋"/>
          <w:bCs/>
          <w:color w:val="000000"/>
          <w:sz w:val="32"/>
          <w:szCs w:val="32"/>
          <w:lang w:bidi="ar"/>
        </w:rPr>
        <w:t>持有票据</w:t>
      </w:r>
      <w:r>
        <w:rPr>
          <w:rFonts w:hint="eastAsia" w:ascii="仿宋" w:hAnsi="仿宋" w:eastAsia="仿宋" w:cs="仿宋"/>
          <w:bCs/>
          <w:color w:val="000000"/>
          <w:sz w:val="32"/>
          <w:szCs w:val="32"/>
          <w:lang w:bidi="ar"/>
        </w:rPr>
        <w:t>（包）</w:t>
      </w:r>
      <w:r>
        <w:rPr>
          <w:rFonts w:ascii="仿宋" w:hAnsi="仿宋" w:eastAsia="仿宋" w:cs="仿宋"/>
          <w:bCs/>
          <w:color w:val="000000"/>
          <w:sz w:val="32"/>
          <w:szCs w:val="32"/>
          <w:lang w:bidi="ar"/>
        </w:rPr>
        <w:t>金额，但应为标准金额的整数倍。</w:t>
      </w:r>
      <w:r>
        <w:rPr>
          <w:rFonts w:hint="eastAsia" w:ascii="仿宋" w:hAnsi="仿宋" w:eastAsia="仿宋" w:cs="仿宋"/>
          <w:bCs/>
          <w:color w:val="000000"/>
          <w:sz w:val="32"/>
          <w:szCs w:val="32"/>
          <w:lang w:bidi="ar"/>
        </w:rPr>
        <w:t>保证申请的子票区间，应被包含于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票据（包）不可分包的，保证金额应等于被保证人持有票据（包）金额。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8</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保证应在票据到期日前完成，票据的票面到期日前一日日终仍未完成保证申请应答的，票交所对保证申请做清退处理。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9.</w:t>
      </w:r>
      <w:r>
        <w:rPr>
          <w:rFonts w:hint="eastAsia" w:ascii="仿宋" w:hAnsi="仿宋" w:eastAsia="仿宋" w:cs="仿宋"/>
          <w:sz w:val="32"/>
          <w:szCs w:val="32"/>
        </w:rPr>
        <w:t>已冻结票据不可办理保证。</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被保证人通过参与者服务机构客户终端，选择要办理保证的票据（包），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保证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（4）业务申请日期、业务种类（“保证申请”）、业务批次号；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（6）保证人要素信息；</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（7）承接机构与被承接机构的参与者代码（申请人为企业等间接参与者时，要素信息中的账户开户机构发生承接的）。</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被保证人的参与者服务机构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，并向被保证人提示业务申请的处理结果</w:t>
      </w:r>
      <w:r>
        <w:rPr>
          <w:rFonts w:ascii="仿宋" w:hAnsi="仿宋" w:eastAsia="仿宋" w:cs="仿宋"/>
          <w:bCs/>
          <w:color w:val="000000"/>
          <w:sz w:val="32"/>
          <w:szCs w:val="32"/>
          <w:lang w:bidi="ar"/>
        </w:rPr>
        <w:t>。</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保证人的参与者服务机构收到票交所转发的申请。如保证人为企业</w:t>
      </w:r>
      <w:r>
        <w:rPr>
          <w:rFonts w:hint="eastAsia" w:ascii="仿宋" w:hAnsi="仿宋" w:eastAsia="仿宋" w:cs="仿宋"/>
          <w:sz w:val="32"/>
          <w:szCs w:val="32"/>
        </w:rPr>
        <w:t>等间接参与者</w:t>
      </w:r>
      <w:r>
        <w:rPr>
          <w:rFonts w:hint="eastAsia" w:ascii="仿宋" w:hAnsi="仿宋" w:eastAsia="仿宋" w:cs="仿宋"/>
          <w:bCs/>
          <w:color w:val="000000"/>
          <w:sz w:val="32"/>
          <w:szCs w:val="32"/>
          <w:lang w:bidi="ar"/>
        </w:rPr>
        <w:t>，检查保证人的名称、账号等信息，检查通过的，通知保证人。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检查不通过的，向票交所返回处理失败结果。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4.</w:t>
      </w:r>
      <w:r>
        <w:rPr>
          <w:rFonts w:hint="eastAsia" w:ascii="仿宋" w:hAnsi="仿宋" w:eastAsia="仿宋" w:cs="仿宋"/>
          <w:sz w:val="32"/>
          <w:szCs w:val="32"/>
        </w:rPr>
        <w:t>票据的票面到期日前（不含到期日），被保证人可以撤销待应答的保证申请。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保证人对收到的保证申请进行应答（同意或拒绝）。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保证人的参与者服务机构向票交所发送保证人应答结果，并向保证人提示处理结果。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被保证人的参与者服务机构收到票交所转发的应答结果，通知被保证人。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8.保证人对保证申请应答为“同意”的，票交所记录保证信息。</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1"/>
        <w:rPr>
          <w:rFonts w:ascii="仿宋" w:hAnsi="仿宋" w:eastAsia="仿宋" w:cs="仿宋"/>
          <w:b/>
          <w:sz w:val="32"/>
          <w:szCs w:val="32"/>
        </w:rPr>
      </w:pPr>
      <w:bookmarkStart w:id="479" w:name="_Toc7778"/>
      <w:bookmarkStart w:id="480" w:name="_Toc20455"/>
      <w:bookmarkStart w:id="481" w:name="_Toc13611"/>
      <w:bookmarkStart w:id="482" w:name="_Toc17965"/>
      <w:bookmarkStart w:id="483" w:name="_Toc473834711"/>
      <w:bookmarkStart w:id="484" w:name="_Toc27441"/>
      <w:bookmarkStart w:id="485" w:name="_Toc21512"/>
      <w:bookmarkStart w:id="486" w:name="_Toc30356"/>
      <w:bookmarkStart w:id="487" w:name="_Toc6539"/>
      <w:bookmarkStart w:id="488" w:name="_Toc22246"/>
      <w:bookmarkStart w:id="489" w:name="_Toc21247"/>
      <w:bookmarkStart w:id="490" w:name="_Toc19797"/>
      <w:bookmarkStart w:id="491" w:name="_Toc13032"/>
      <w:bookmarkStart w:id="492" w:name="_Toc3054"/>
      <w:bookmarkStart w:id="493" w:name="_Toc32357"/>
      <w:bookmarkStart w:id="494" w:name="_Toc2273"/>
      <w:bookmarkStart w:id="495" w:name="_Toc1823"/>
      <w:r>
        <w:rPr>
          <w:rFonts w:hint="eastAsia" w:ascii="仿宋" w:hAnsi="仿宋" w:eastAsia="仿宋" w:cs="仿宋"/>
          <w:b/>
          <w:sz w:val="32"/>
          <w:szCs w:val="32"/>
        </w:rPr>
        <w:t>2.4 质押及质押解除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spacing w:line="590" w:lineRule="exact"/>
        <w:ind w:firstLine="643" w:firstLineChars="200"/>
        <w:outlineLvl w:val="2"/>
        <w:rPr>
          <w:rFonts w:ascii="仿宋" w:hAnsi="仿宋" w:eastAsia="仿宋" w:cs="仿宋"/>
          <w:b/>
          <w:bCs/>
          <w:sz w:val="32"/>
          <w:szCs w:val="32"/>
        </w:rPr>
      </w:pPr>
      <w:bookmarkStart w:id="496" w:name="_Toc13766"/>
      <w:bookmarkStart w:id="497" w:name="_Toc11002"/>
      <w:bookmarkStart w:id="498" w:name="_Toc1043663694"/>
      <w:bookmarkStart w:id="499" w:name="_Toc15199"/>
      <w:bookmarkStart w:id="500" w:name="_Toc22799"/>
      <w:bookmarkStart w:id="501" w:name="_Toc13542"/>
      <w:bookmarkStart w:id="502" w:name="_Toc20120"/>
      <w:bookmarkStart w:id="503" w:name="_Toc2092"/>
      <w:bookmarkStart w:id="504" w:name="_Toc6528"/>
      <w:bookmarkStart w:id="505" w:name="_Toc23988"/>
      <w:bookmarkStart w:id="506" w:name="_Toc9048"/>
      <w:bookmarkStart w:id="507" w:name="_Toc19468"/>
      <w:bookmarkStart w:id="508" w:name="_Toc20965"/>
      <w:bookmarkStart w:id="509" w:name="_Toc29977"/>
      <w:bookmarkStart w:id="510" w:name="_Toc19018"/>
      <w:bookmarkStart w:id="511" w:name="_Toc4473"/>
      <w:bookmarkStart w:id="512" w:name="_Toc15779"/>
      <w:r>
        <w:rPr>
          <w:rFonts w:hint="eastAsia" w:ascii="仿宋" w:hAnsi="仿宋" w:eastAsia="仿宋" w:cs="仿宋"/>
          <w:b/>
          <w:bCs/>
          <w:sz w:val="32"/>
          <w:szCs w:val="32"/>
        </w:rPr>
        <w:t>2.4.1 质押申请</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质押是指持票人为了给债权提供担保，以该票据为债权人设立质权的票据行为。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lang w:bidi="ar"/>
        </w:rPr>
        <w:t>出</w:t>
      </w:r>
      <w:r>
        <w:rPr>
          <w:rFonts w:hint="eastAsia" w:ascii="仿宋" w:hAnsi="仿宋" w:eastAsia="仿宋"/>
          <w:sz w:val="32"/>
          <w:szCs w:val="32"/>
        </w:rPr>
        <w:t>质人办理电票的质押，应通过票交所发起质押申请，由质权人作出应答。</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1.出质人和质权人不能为同一人。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已完成提示收票且未记载“不得转让”标记的票据，可以由出质人办理质押。</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sz w:val="32"/>
          <w:szCs w:val="32"/>
        </w:rPr>
        <w:t>票据（包）可分包的，</w:t>
      </w:r>
      <w:r>
        <w:rPr>
          <w:rFonts w:hint="eastAsia" w:ascii="仿宋" w:hAnsi="仿宋" w:eastAsia="仿宋" w:cs="仿宋"/>
          <w:bCs/>
          <w:color w:val="000000"/>
          <w:sz w:val="32"/>
          <w:szCs w:val="32"/>
          <w:lang w:bidi="ar"/>
        </w:rPr>
        <w:t>质押</w:t>
      </w:r>
      <w:r>
        <w:rPr>
          <w:rFonts w:ascii="仿宋" w:hAnsi="仿宋" w:eastAsia="仿宋" w:cs="仿宋"/>
          <w:bCs/>
          <w:color w:val="000000"/>
          <w:sz w:val="32"/>
          <w:szCs w:val="32"/>
          <w:lang w:bidi="ar"/>
        </w:rPr>
        <w:t>金额可以小于或等于</w:t>
      </w:r>
      <w:r>
        <w:rPr>
          <w:rFonts w:hint="eastAsia" w:ascii="仿宋" w:hAnsi="仿宋" w:eastAsia="仿宋" w:cs="仿宋"/>
          <w:bCs/>
          <w:color w:val="000000"/>
          <w:sz w:val="32"/>
          <w:szCs w:val="32"/>
          <w:lang w:bidi="ar"/>
        </w:rPr>
        <w:t>出质人</w:t>
      </w:r>
      <w:r>
        <w:rPr>
          <w:rFonts w:ascii="仿宋" w:hAnsi="仿宋" w:eastAsia="仿宋" w:cs="仿宋"/>
          <w:bCs/>
          <w:color w:val="000000"/>
          <w:sz w:val="32"/>
          <w:szCs w:val="32"/>
          <w:lang w:bidi="ar"/>
        </w:rPr>
        <w:t>持有票据</w:t>
      </w:r>
      <w:r>
        <w:rPr>
          <w:rFonts w:hint="eastAsia" w:ascii="仿宋" w:hAnsi="仿宋" w:eastAsia="仿宋" w:cs="仿宋"/>
          <w:bCs/>
          <w:color w:val="000000"/>
          <w:sz w:val="32"/>
          <w:szCs w:val="32"/>
          <w:lang w:bidi="ar"/>
        </w:rPr>
        <w:t>（包）</w:t>
      </w:r>
      <w:r>
        <w:rPr>
          <w:rFonts w:ascii="仿宋" w:hAnsi="仿宋" w:eastAsia="仿宋" w:cs="仿宋"/>
          <w:bCs/>
          <w:color w:val="000000"/>
          <w:sz w:val="32"/>
          <w:szCs w:val="32"/>
          <w:lang w:bidi="ar"/>
        </w:rPr>
        <w:t>金额，但应为标准金额的整数倍。</w:t>
      </w:r>
      <w:r>
        <w:rPr>
          <w:rFonts w:hint="eastAsia" w:ascii="仿宋" w:hAnsi="仿宋" w:eastAsia="仿宋" w:cs="仿宋"/>
          <w:bCs/>
          <w:color w:val="000000"/>
          <w:sz w:val="32"/>
          <w:szCs w:val="32"/>
          <w:lang w:bidi="ar"/>
        </w:rPr>
        <w:t>质押申请的子票区间，应被包含于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票据（包）不可分包的，质押金额应等于出质人持有票据（包）金额。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已质押未解除的票据不可办理除质押解除外的背书、贴现、保证、交易等其他业务。</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质押应在票据到期日前完成，票据到期日前一日日终仍未完成质押申请应答的，票交所对质押申请做清退处理。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hint="eastAsia" w:ascii="仿宋" w:hAnsi="仿宋" w:eastAsia="仿宋" w:cs="仿宋"/>
          <w:sz w:val="32"/>
          <w:szCs w:val="32"/>
        </w:rPr>
        <w:t>已冻结票据不可办理质押。</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出质人通过参与者服务机构客户终端，选择要质押的票据（包），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质押</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（4）业务申请日期、业务种类（“质押申请”）、业务批次号；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（6）质权人要素信息；</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（7）承接机构与被承接机构的参与者代码（申请人为企业等间接参与者时，要素信息中的账户开户机构发生承接的）。</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出质人的参与者服务机构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，并向出质人提示业务申请的处理结果</w:t>
      </w:r>
      <w:r>
        <w:rPr>
          <w:rFonts w:ascii="仿宋" w:hAnsi="仿宋" w:eastAsia="仿宋" w:cs="仿宋"/>
          <w:bCs/>
          <w:color w:val="000000"/>
          <w:sz w:val="32"/>
          <w:szCs w:val="32"/>
          <w:lang w:bidi="ar"/>
        </w:rPr>
        <w:t>。</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质权人的参与者服务机构收到票交所转发的申请。如质权人为企业</w:t>
      </w:r>
      <w:r>
        <w:rPr>
          <w:rFonts w:hint="eastAsia" w:ascii="仿宋" w:hAnsi="仿宋" w:eastAsia="仿宋" w:cs="仿宋"/>
          <w:sz w:val="32"/>
          <w:szCs w:val="32"/>
        </w:rPr>
        <w:t>等间接参与者</w:t>
      </w:r>
      <w:r>
        <w:rPr>
          <w:rFonts w:hint="eastAsia" w:ascii="仿宋" w:hAnsi="仿宋" w:eastAsia="仿宋" w:cs="仿宋"/>
          <w:bCs/>
          <w:color w:val="000000"/>
          <w:sz w:val="32"/>
          <w:szCs w:val="32"/>
          <w:lang w:bidi="ar"/>
        </w:rPr>
        <w:t>，检查质权人的名称、账号等信息，检查通过的，通知质权人。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检查不通过的，向票交所返回处理失败结果。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4.</w:t>
      </w:r>
      <w:r>
        <w:rPr>
          <w:rFonts w:hint="eastAsia" w:ascii="仿宋" w:hAnsi="仿宋" w:eastAsia="仿宋" w:cs="仿宋"/>
          <w:sz w:val="32"/>
          <w:szCs w:val="32"/>
        </w:rPr>
        <w:t>票据的票面到期日前（不含到期日），出质人可以撤销待应答的质押申请。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质权人对收到的质押申请进行应答（同意或拒绝）。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质权人的参与者服务机构向票交所发送质权人应答结果，并向质权人提示处理结果。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出质人的参与者服务机构收到票交所转发的应答结果，通知出质人。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8.质权人对质押申请应答为“同意”的，票交所对票据权属作设质变更处理。</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bCs/>
          <w:sz w:val="32"/>
          <w:szCs w:val="32"/>
        </w:rPr>
      </w:pPr>
      <w:bookmarkStart w:id="513" w:name="_Toc31981"/>
      <w:bookmarkStart w:id="514" w:name="_Toc22266"/>
      <w:bookmarkStart w:id="515" w:name="_Toc20594"/>
      <w:bookmarkStart w:id="516" w:name="_Toc2037"/>
      <w:bookmarkStart w:id="517" w:name="_Toc23308"/>
      <w:bookmarkStart w:id="518" w:name="_Toc7045"/>
      <w:bookmarkStart w:id="519" w:name="_Toc22934"/>
      <w:bookmarkStart w:id="520" w:name="_Toc29816"/>
      <w:bookmarkStart w:id="521" w:name="_Toc5898"/>
      <w:bookmarkStart w:id="522" w:name="_Toc28440"/>
      <w:bookmarkStart w:id="523" w:name="_Toc25458"/>
      <w:bookmarkStart w:id="524" w:name="_Toc24671"/>
      <w:bookmarkStart w:id="525" w:name="_Toc329"/>
      <w:bookmarkStart w:id="526" w:name="_Toc17826"/>
      <w:bookmarkStart w:id="527" w:name="_Toc268977899"/>
      <w:bookmarkStart w:id="528" w:name="_Toc28985"/>
      <w:bookmarkStart w:id="529" w:name="_Toc23185"/>
      <w:r>
        <w:rPr>
          <w:rFonts w:hint="eastAsia" w:ascii="仿宋" w:hAnsi="仿宋" w:eastAsia="仿宋" w:cs="仿宋"/>
          <w:b/>
          <w:bCs/>
          <w:sz w:val="32"/>
          <w:szCs w:val="32"/>
        </w:rPr>
        <w:t>2.4.2 质押解除</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spacing w:line="590" w:lineRule="exact"/>
        <w:ind w:firstLine="643" w:firstLineChars="200"/>
        <w:rPr>
          <w:rFonts w:ascii="仿宋" w:hAnsi="仿宋" w:eastAsia="仿宋"/>
          <w:b/>
          <w:bCs/>
          <w:sz w:val="32"/>
          <w:szCs w:val="32"/>
        </w:rPr>
      </w:pPr>
      <w:bookmarkStart w:id="530" w:name="_Toc69659130"/>
      <w:bookmarkStart w:id="531" w:name="_Toc3648"/>
      <w:bookmarkStart w:id="532" w:name="_Toc21834"/>
      <w:bookmarkStart w:id="533" w:name="_Toc28326"/>
      <w:bookmarkStart w:id="534" w:name="_Toc25582"/>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主债务已经履行完毕的，质权人应按约定解除质押。</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lang w:bidi="ar"/>
        </w:rPr>
        <w:t>质权</w:t>
      </w:r>
      <w:r>
        <w:rPr>
          <w:rFonts w:hint="eastAsia" w:ascii="仿宋" w:hAnsi="仿宋" w:eastAsia="仿宋"/>
          <w:sz w:val="32"/>
          <w:szCs w:val="32"/>
        </w:rPr>
        <w:t>人办理电票的质押解除，应通过票交所发起质押解除申请，由出质人作出应答</w:t>
      </w:r>
      <w:r>
        <w:rPr>
          <w:rFonts w:hint="eastAsia" w:ascii="仿宋" w:hAnsi="仿宋" w:eastAsia="仿宋" w:cs="仿宋"/>
          <w:bCs/>
          <w:color w:val="000000"/>
          <w:sz w:val="32"/>
          <w:szCs w:val="32"/>
          <w:lang w:bidi="ar"/>
        </w:rPr>
        <w:t>。</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1.</w:t>
      </w:r>
      <w:r>
        <w:rPr>
          <w:rFonts w:hint="eastAsia" w:ascii="仿宋" w:hAnsi="仿宋" w:eastAsia="仿宋" w:cs="仿宋"/>
          <w:bCs/>
          <w:color w:val="000000"/>
          <w:sz w:val="32"/>
          <w:szCs w:val="32"/>
          <w:lang w:bidi="ar"/>
        </w:rPr>
        <w:t>主债务到期日先于票据到期日，且主债务已经履行完毕的，质权人应按约定解除质押。</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票据到期日先于主债务到期日的，质权人可以行使票据权利，在票据到期后发起提示付款、追索。</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3.票据到期提示付款被拒付后，质权人也可以按约定解除质押。</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sz w:val="32"/>
          <w:szCs w:val="32"/>
        </w:rPr>
        <w:t>票据（包）可分包的，</w:t>
      </w:r>
      <w:r>
        <w:rPr>
          <w:rFonts w:hint="eastAsia" w:ascii="仿宋" w:hAnsi="仿宋" w:eastAsia="仿宋" w:cs="仿宋"/>
          <w:bCs/>
          <w:color w:val="000000"/>
          <w:sz w:val="32"/>
          <w:szCs w:val="32"/>
          <w:lang w:bidi="ar"/>
        </w:rPr>
        <w:t>质押解除</w:t>
      </w:r>
      <w:r>
        <w:rPr>
          <w:rFonts w:ascii="仿宋" w:hAnsi="仿宋" w:eastAsia="仿宋" w:cs="仿宋"/>
          <w:bCs/>
          <w:color w:val="000000"/>
          <w:sz w:val="32"/>
          <w:szCs w:val="32"/>
          <w:lang w:bidi="ar"/>
        </w:rPr>
        <w:t>金额可以小于或等于</w:t>
      </w:r>
      <w:r>
        <w:rPr>
          <w:rFonts w:hint="eastAsia" w:ascii="仿宋" w:hAnsi="仿宋" w:eastAsia="仿宋" w:cs="仿宋"/>
          <w:bCs/>
          <w:color w:val="000000"/>
          <w:sz w:val="32"/>
          <w:szCs w:val="32"/>
          <w:lang w:bidi="ar"/>
        </w:rPr>
        <w:t>待解除质押的</w:t>
      </w:r>
      <w:r>
        <w:rPr>
          <w:rFonts w:ascii="仿宋" w:hAnsi="仿宋" w:eastAsia="仿宋" w:cs="仿宋"/>
          <w:bCs/>
          <w:color w:val="000000"/>
          <w:sz w:val="32"/>
          <w:szCs w:val="32"/>
          <w:lang w:bidi="ar"/>
        </w:rPr>
        <w:t>票据</w:t>
      </w:r>
      <w:r>
        <w:rPr>
          <w:rFonts w:hint="eastAsia" w:ascii="仿宋" w:hAnsi="仿宋" w:eastAsia="仿宋" w:cs="仿宋"/>
          <w:bCs/>
          <w:color w:val="000000"/>
          <w:sz w:val="32"/>
          <w:szCs w:val="32"/>
          <w:lang w:bidi="ar"/>
        </w:rPr>
        <w:t>（包）</w:t>
      </w:r>
      <w:r>
        <w:rPr>
          <w:rFonts w:ascii="仿宋" w:hAnsi="仿宋" w:eastAsia="仿宋" w:cs="仿宋"/>
          <w:bCs/>
          <w:color w:val="000000"/>
          <w:sz w:val="32"/>
          <w:szCs w:val="32"/>
          <w:lang w:bidi="ar"/>
        </w:rPr>
        <w:t>金额，但应为标准金额的整数倍。</w:t>
      </w:r>
      <w:r>
        <w:rPr>
          <w:rFonts w:hint="eastAsia" w:ascii="仿宋" w:hAnsi="仿宋" w:eastAsia="仿宋" w:cs="仿宋"/>
          <w:bCs/>
          <w:color w:val="000000"/>
          <w:sz w:val="32"/>
          <w:szCs w:val="32"/>
          <w:lang w:bidi="ar"/>
        </w:rPr>
        <w:t>质押解除申请的子票区间，应被包含于待解除质押的票据（包）子票区间，且子票区间起始序号应与待解除质押子票区间相同。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票据（包）不可分包的，质押解除金额应等于待解除质押的票据（包）金额。</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5.票据到期日前一日日终仍未完成质押解除应答的，票交所对质押解除申请做清退处理。</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质权人通过参与者服务机构客户终端，选择要解除质押的票据（包），</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质押解除</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（1）质押解除申请人要素信息；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（2）质押解除申请人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（4）业务申请日期、业务种类（“质押解除申请”）、业务批次号；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（6）承接机构与被承接机构的参与者代码（</w:t>
      </w:r>
      <w:r>
        <w:rPr>
          <w:rFonts w:hint="eastAsia" w:ascii="仿宋" w:hAnsi="仿宋" w:eastAsia="仿宋" w:cs="仿宋"/>
          <w:sz w:val="32"/>
          <w:szCs w:val="32"/>
          <w:lang w:eastAsia="zh-CN"/>
        </w:rPr>
        <w:t>申请</w:t>
      </w:r>
      <w:r>
        <w:rPr>
          <w:rFonts w:hint="eastAsia" w:ascii="仿宋" w:hAnsi="仿宋" w:eastAsia="仿宋" w:cs="仿宋"/>
          <w:sz w:val="32"/>
          <w:szCs w:val="32"/>
        </w:rPr>
        <w:t>人为企业等间接参与者时，要素信息中的账户开户机构发生承接的）。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质权人的参与者服务机构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，并向质权人提示业务申请的处理结果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出质人的参与者服务机构收到票交所转发的申请，通知出质人。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4.票据的票面到期日前（不含到期日），质权人可以撤销待应答的质押解除申请。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出质人对收到的质押解除申请进行应答（同意或拒绝）。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出质人的参与者服务机构向票交所发送出质人应答结果，并向出质人提示处理结果。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质权人的参与者服务机构收到票交所转发的应答结果，通知质权人。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8.出质人对质押解除申请应答为“同意”的，票交所对票据权属作质权解除变更处理。</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1"/>
        <w:rPr>
          <w:rFonts w:ascii="仿宋" w:hAnsi="仿宋" w:eastAsia="仿宋" w:cs="仿宋"/>
          <w:b/>
          <w:sz w:val="32"/>
          <w:szCs w:val="32"/>
        </w:rPr>
      </w:pPr>
      <w:bookmarkStart w:id="535" w:name="_Toc21151"/>
      <w:bookmarkStart w:id="536" w:name="_Toc3158"/>
      <w:bookmarkStart w:id="537" w:name="_Toc25941"/>
      <w:bookmarkStart w:id="538" w:name="_Toc23189"/>
      <w:bookmarkStart w:id="539" w:name="_Toc7683"/>
      <w:bookmarkStart w:id="540" w:name="_Toc3185"/>
      <w:bookmarkStart w:id="541" w:name="_Toc30210"/>
      <w:bookmarkStart w:id="542" w:name="_Toc10177"/>
      <w:bookmarkStart w:id="543" w:name="_Toc31099"/>
      <w:bookmarkStart w:id="544" w:name="_Toc15339"/>
      <w:bookmarkStart w:id="545" w:name="_Toc18145"/>
      <w:bookmarkStart w:id="546" w:name="_Toc3680"/>
      <w:bookmarkStart w:id="547" w:name="_Toc460821854"/>
      <w:bookmarkStart w:id="548" w:name="_Toc27561"/>
      <w:bookmarkStart w:id="549" w:name="_Toc7575"/>
      <w:bookmarkStart w:id="550" w:name="_Toc19106"/>
      <w:bookmarkStart w:id="551" w:name="_Toc17919"/>
      <w:r>
        <w:rPr>
          <w:rFonts w:hint="eastAsia" w:ascii="仿宋" w:hAnsi="仿宋" w:eastAsia="仿宋" w:cs="仿宋"/>
          <w:b/>
          <w:sz w:val="32"/>
          <w:szCs w:val="32"/>
        </w:rPr>
        <w:t xml:space="preserve">2.5 </w:t>
      </w:r>
      <w:bookmarkEnd w:id="530"/>
      <w:bookmarkEnd w:id="531"/>
      <w:bookmarkEnd w:id="532"/>
      <w:bookmarkEnd w:id="533"/>
      <w:bookmarkEnd w:id="534"/>
      <w:bookmarkEnd w:id="535"/>
      <w:bookmarkEnd w:id="536"/>
      <w:bookmarkEnd w:id="537"/>
      <w:r>
        <w:rPr>
          <w:rFonts w:hint="eastAsia" w:ascii="仿宋" w:hAnsi="仿宋" w:eastAsia="仿宋" w:cs="仿宋"/>
          <w:b/>
          <w:sz w:val="32"/>
          <w:szCs w:val="32"/>
        </w:rPr>
        <w:t>转让背书</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转让背书是指持票人将</w:t>
      </w:r>
      <w:r>
        <w:rPr>
          <w:rFonts w:hint="eastAsia" w:ascii="仿宋" w:hAnsi="仿宋" w:eastAsia="仿宋" w:cs="仿宋"/>
          <w:sz w:val="32"/>
          <w:szCs w:val="32"/>
          <w:lang w:eastAsia="zh-Hans" w:bidi="ar"/>
        </w:rPr>
        <w:t>票据</w:t>
      </w:r>
      <w:r>
        <w:rPr>
          <w:rFonts w:hint="eastAsia" w:ascii="仿宋" w:hAnsi="仿宋" w:eastAsia="仿宋" w:cs="仿宋"/>
          <w:sz w:val="32"/>
          <w:szCs w:val="32"/>
          <w:lang w:bidi="ar"/>
        </w:rPr>
        <w:t>权利依法转让给他人的票据行为</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持票人</w:t>
      </w:r>
      <w:r>
        <w:rPr>
          <w:rFonts w:hint="eastAsia" w:ascii="仿宋" w:hAnsi="仿宋" w:eastAsia="仿宋"/>
          <w:sz w:val="32"/>
          <w:szCs w:val="32"/>
        </w:rPr>
        <w:t>办理电票的转让背书，应通过票交所发起转让背书申请，由被背书人作出应答。</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1.已完成提示收票且未记载“不得转让”标记的票据，可以办理转让背书。</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2.转让背书的业务申请日期应早于票据的票面到期日。</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3.</w:t>
      </w:r>
      <w:r>
        <w:rPr>
          <w:rFonts w:hint="eastAsia" w:ascii="仿宋" w:hAnsi="仿宋" w:eastAsia="仿宋" w:cs="仿宋"/>
          <w:bCs/>
          <w:color w:val="000000"/>
          <w:sz w:val="32"/>
          <w:szCs w:val="32"/>
          <w:lang w:bidi="ar"/>
        </w:rPr>
        <w:t>背书人可以在票据上记载“不得转让”标记，记载了“不得转让”标记的电票在交付被背书人后不得继续背书、质押或贴现。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4.票据（包）可分包的，转让背书金额可以小于或等于背书人持有票据（包）金额</w:t>
      </w:r>
      <w:r>
        <w:rPr>
          <w:rFonts w:ascii="仿宋" w:hAnsi="仿宋" w:eastAsia="仿宋" w:cs="仿宋"/>
          <w:bCs/>
          <w:color w:val="000000"/>
          <w:sz w:val="32"/>
          <w:szCs w:val="32"/>
          <w:lang w:bidi="ar"/>
        </w:rPr>
        <w:t>，但应为标准金额的整数倍</w:t>
      </w:r>
      <w:r>
        <w:rPr>
          <w:rFonts w:hint="eastAsia" w:ascii="仿宋" w:hAnsi="仿宋" w:eastAsia="仿宋" w:cs="仿宋"/>
          <w:sz w:val="32"/>
          <w:szCs w:val="32"/>
        </w:rPr>
        <w:t>。</w:t>
      </w:r>
      <w:r>
        <w:rPr>
          <w:rFonts w:hint="eastAsia" w:ascii="仿宋" w:hAnsi="仿宋" w:eastAsia="仿宋" w:cs="仿宋"/>
          <w:bCs/>
          <w:color w:val="000000"/>
          <w:sz w:val="32"/>
          <w:szCs w:val="32"/>
          <w:lang w:bidi="ar"/>
        </w:rPr>
        <w:t>转让背书申请的子票区间，应被包含于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票据（包）不可分包的，转让背书金额应等于背书人持有票据（包）金额。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5</w:t>
      </w:r>
      <w:r>
        <w:rPr>
          <w:rFonts w:hint="eastAsia" w:ascii="仿宋" w:hAnsi="仿宋" w:eastAsia="仿宋" w:cs="仿宋"/>
          <w:bCs/>
          <w:color w:val="000000"/>
          <w:sz w:val="32"/>
          <w:szCs w:val="32"/>
          <w:lang w:bidi="ar"/>
        </w:rPr>
        <w:t>.转让背书应在票据到期日前完成，票据的票面到期日前一日日终仍未完成转让背书申请应答的，票交所对转让背书申请做清退处理。</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6.已冻结票据不可</w:t>
      </w:r>
      <w:r>
        <w:rPr>
          <w:rFonts w:hint="eastAsia" w:ascii="仿宋" w:hAnsi="仿宋" w:eastAsia="仿宋" w:cs="仿宋"/>
          <w:sz w:val="32"/>
          <w:szCs w:val="32"/>
        </w:rPr>
        <w:t>办理转让背书。</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widowControl/>
        <w:numPr>
          <w:ilvl w:val="0"/>
          <w:numId w:val="1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持票人通过参与者服务机构客户终端，选择持有票据（包），发起转让背书申请。需提供的要素信息包括：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（4）业务申请日期、业务种类（“转让背书申请”）、不得转让标记（“不得转让”、“可再转让”）、业务批次号；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（6）被背书人信息；</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（7）承接机构与被承接机构的参与者代码（申请人要素信息中的账户开户机构发生承接的）。</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2.持票人的参与者服务机构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，并向持票人提示业务申请的处理结果。</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3.被背书人的参与者服务机构收到票交所转发的申请，检查被背书人的名称、账号等信息，检查通过的，通知被背书人。</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检查不通过的，向票交所返回处理失败结果。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4</w:t>
      </w:r>
      <w:r>
        <w:rPr>
          <w:rFonts w:hint="eastAsia" w:ascii="仿宋" w:hAnsi="仿宋" w:eastAsia="仿宋" w:cs="仿宋"/>
          <w:sz w:val="32"/>
          <w:szCs w:val="32"/>
        </w:rPr>
        <w:t>.票据的票面到期日前（不含到期日），背书人可以撤销待应答的转让背书申请。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5.被背书人对收到的转让背书申请进行应答（同意或拒绝）。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被背书人的参与者服务机构向票交所发送被背书人应答结果，并向被背书人提示处理结果。</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背书人的参与者服务机构收到票交所转发的应答结果，通知背书人。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8.被背书人对转让背书申请应答为“同意”的，票交所对票据权属作转让变更处理。</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bCs/>
          <w:sz w:val="32"/>
          <w:szCs w:val="32"/>
        </w:rPr>
      </w:pPr>
      <w:bookmarkStart w:id="552" w:name="_Toc2263"/>
      <w:bookmarkStart w:id="553" w:name="_Toc6156"/>
      <w:bookmarkStart w:id="554" w:name="_Toc30412"/>
      <w:bookmarkStart w:id="555" w:name="_Toc30194"/>
      <w:bookmarkStart w:id="556" w:name="_Toc22171"/>
      <w:bookmarkStart w:id="557" w:name="_Toc29445"/>
      <w:bookmarkStart w:id="558" w:name="_Toc13512"/>
      <w:bookmarkStart w:id="559" w:name="_Toc5665"/>
      <w:bookmarkStart w:id="560" w:name="_Toc6447"/>
      <w:bookmarkStart w:id="561" w:name="_Toc16818"/>
      <w:bookmarkStart w:id="562" w:name="_Toc15597"/>
      <w:bookmarkStart w:id="563" w:name="_Toc1633"/>
      <w:bookmarkStart w:id="564" w:name="_Toc18541"/>
      <w:bookmarkStart w:id="565" w:name="_Toc28599"/>
      <w:bookmarkStart w:id="566" w:name="_Toc11850"/>
      <w:bookmarkStart w:id="567" w:name="_Toc32196"/>
      <w:bookmarkStart w:id="568" w:name="_Toc30113866"/>
      <w:r>
        <w:rPr>
          <w:rFonts w:hint="eastAsia" w:ascii="仿宋" w:hAnsi="仿宋" w:eastAsia="仿宋" w:cs="仿宋"/>
          <w:b/>
          <w:bCs/>
          <w:sz w:val="32"/>
          <w:szCs w:val="32"/>
        </w:rPr>
        <w:t xml:space="preserve">2.6 </w:t>
      </w:r>
      <w:r>
        <w:rPr>
          <w:rFonts w:hint="eastAsia" w:ascii="仿宋" w:hAnsi="仿宋" w:eastAsia="仿宋" w:cs="仿宋"/>
          <w:b/>
          <w:sz w:val="32"/>
          <w:szCs w:val="32"/>
        </w:rPr>
        <w:t>贴现</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票据贴现（简称“贴现”）是指持票人在票据到期日前，为了取得资金贴付一定利息将票据权利转让给金融机构的行为。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持票人</w:t>
      </w:r>
      <w:r>
        <w:rPr>
          <w:rFonts w:hint="eastAsia" w:ascii="仿宋" w:hAnsi="仿宋" w:eastAsia="仿宋"/>
          <w:sz w:val="32"/>
          <w:szCs w:val="32"/>
        </w:rPr>
        <w:t>办理电票的贴现，应通过票交所发起贴现申请，由贴入人作出应答。</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贴现包括买断式贴现和回购式贴现。</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569" w:name="_Toc28462"/>
      <w:bookmarkStart w:id="570" w:name="_Toc978"/>
      <w:bookmarkStart w:id="571" w:name="_Toc21368"/>
      <w:bookmarkStart w:id="572" w:name="_Toc20904"/>
      <w:bookmarkStart w:id="573" w:name="_Toc9481"/>
      <w:bookmarkStart w:id="574" w:name="_Toc18545"/>
      <w:bookmarkStart w:id="575" w:name="_Toc5096"/>
      <w:bookmarkStart w:id="576" w:name="_Toc3501"/>
      <w:bookmarkStart w:id="577" w:name="_Toc12802"/>
      <w:bookmarkStart w:id="578" w:name="_Toc6424"/>
      <w:bookmarkStart w:id="579" w:name="_Toc2396"/>
      <w:bookmarkStart w:id="580" w:name="_Toc3798"/>
      <w:bookmarkStart w:id="581" w:name="_Toc26277"/>
      <w:bookmarkStart w:id="582" w:name="_Toc14425"/>
      <w:bookmarkStart w:id="583" w:name="_Toc12324"/>
      <w:bookmarkStart w:id="584" w:name="_Toc942197528"/>
      <w:bookmarkStart w:id="585" w:name="_Toc18055"/>
      <w:r>
        <w:rPr>
          <w:rFonts w:hint="eastAsia" w:ascii="仿宋" w:hAnsi="仿宋" w:eastAsia="仿宋" w:cs="仿宋"/>
          <w:b/>
          <w:bCs/>
          <w:sz w:val="32"/>
          <w:szCs w:val="32"/>
        </w:rPr>
        <w:t>2.6.1 贴现申请</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1.已完成提示收票且未记载“不得转让”标记的票据，可以办理贴现。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2.贴现业务申请日期应当早于票据的票面到期日。其中回购式贴现，贴现申请日&lt;贴现赎回开放日&lt;=贴现赎回截止日&lt;票面到期日。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赎回开放日至赎回截止日为赎回开放期。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3.贴现业务的申请日期、结算日期必须为业务当前日期。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Cs/>
          <w:color w:val="000000"/>
          <w:sz w:val="32"/>
          <w:szCs w:val="32"/>
          <w:lang w:bidi="ar"/>
        </w:rPr>
        <w:t>贴现申请人可以在票据上记载“不得转让”标记，回购式贴现不得记载“不得转让”标记</w:t>
      </w:r>
      <w:r>
        <w:rPr>
          <w:rFonts w:hint="eastAsia" w:ascii="仿宋" w:hAnsi="仿宋" w:eastAsia="仿宋" w:cs="仿宋"/>
          <w:bCs/>
          <w:color w:val="000000"/>
          <w:sz w:val="32"/>
          <w:szCs w:val="32"/>
          <w:lang w:eastAsia="zh-CN" w:bidi="ar"/>
        </w:rPr>
        <w:t>。</w:t>
      </w:r>
      <w:r>
        <w:rPr>
          <w:rFonts w:hint="eastAsia" w:ascii="仿宋" w:hAnsi="仿宋" w:eastAsia="仿宋" w:cs="仿宋"/>
          <w:bCs/>
          <w:color w:val="000000"/>
          <w:sz w:val="32"/>
          <w:szCs w:val="32"/>
          <w:lang w:bidi="ar"/>
        </w:rPr>
        <w:t>记载了“不得转让”标记的电票在交付贴入人后不得继续流转。</w:t>
      </w:r>
    </w:p>
    <w:p>
      <w:pPr>
        <w:spacing w:line="590" w:lineRule="exact"/>
        <w:ind w:firstLine="640" w:firstLineChars="200"/>
        <w:rPr>
          <w:rFonts w:hint="eastAsia" w:ascii="仿宋" w:hAnsi="仿宋"/>
          <w:sz w:val="32"/>
        </w:rPr>
      </w:pPr>
      <w:r>
        <w:rPr>
          <w:rFonts w:hint="eastAsia" w:ascii="仿宋" w:hAnsi="仿宋" w:eastAsia="仿宋" w:cs="仿宋"/>
          <w:sz w:val="32"/>
          <w:szCs w:val="32"/>
        </w:rPr>
        <w:t>5.采用线上清算方式的，仅支持在营业日的业务时序和清算结算业务时序内办理贴现业务；采用线下清算方式的，支持在营业日或节假日的业务时序内办理。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6.票据（包）可分包的，贴现金额可以小于或等于持票人持有票据（包）金额，但应为标准金额的整数倍。</w:t>
      </w:r>
      <w:r>
        <w:rPr>
          <w:rFonts w:hint="eastAsia" w:ascii="仿宋" w:hAnsi="仿宋" w:eastAsia="仿宋" w:cs="仿宋"/>
          <w:bCs/>
          <w:color w:val="000000"/>
          <w:sz w:val="32"/>
          <w:szCs w:val="32"/>
          <w:lang w:bidi="ar"/>
        </w:rPr>
        <w:t>贴现申请的子票区间，应被包含于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票据（包）不可分包的，贴现金额应等于持票人持有票据（包）金额。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7.贴现利息=票据（包）金额*贴现利率*贴现剩余天数/计息基准。其中：</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计息基准为360天。</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贴现剩余天数=票据到期日（遇法定休假日、大额支付系统非营业日、票据业务系统非营业日顺延）-申请日期。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0&lt;=贴现利率&lt;1。</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8.结算金额为贴现双方约定的贴现实付金额。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0&lt;结算金额&lt;=票据（包）金额</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9.采用线上清算方式的，根据贴现申请发起的参与者服务机构不同，按照以下规则处理：</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如贴现申请人通过金融机构发起贴现申请的，可以使用票据所在的结算账户或其在贴入人所属法人（包括总部及其分支机构）开立的结算账户作为贴现资金入账账户。结算账户应为贴现申请人在票交所备案的有效结算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（2）贴现申请人通过供应链平台发起贴现申请的，可以使用该供应链平台向票交所备案的、贴现申请人的有效结算账户作为贴现资金入账账户。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10.回购式贴现赎回前（不含已逾赎回截止日未赎回的），贴入人不可转让票据。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bCs/>
          <w:color w:val="000000"/>
          <w:sz w:val="32"/>
          <w:szCs w:val="32"/>
          <w:lang w:bidi="ar"/>
        </w:rPr>
        <w:t>未登记贴现申请人与其前手之间交易关系信息的供应链票据，不可办理贴现申请的同意应答</w:t>
      </w:r>
      <w:r>
        <w:rPr>
          <w:rFonts w:hint="eastAsia" w:ascii="仿宋" w:hAnsi="仿宋" w:eastAsia="仿宋" w:cs="仿宋"/>
          <w:sz w:val="32"/>
          <w:szCs w:val="32"/>
        </w:rPr>
        <w:t>（交易关系信息登记具体规则和流程详见本指南第“2.12 交易关系信息登记”章节）</w:t>
      </w:r>
      <w:r>
        <w:rPr>
          <w:rFonts w:hint="eastAsia" w:ascii="仿宋" w:hAnsi="仿宋" w:eastAsia="仿宋" w:cs="仿宋"/>
          <w:bCs/>
          <w:color w:val="000000"/>
          <w:sz w:val="32"/>
          <w:szCs w:val="32"/>
          <w:lang w:bidi="ar"/>
        </w:rPr>
        <w:t>。</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1.持票人通过参与者服务机构客户终端，选择持有票据（包），发起贴现申请。票据风险状态应为“非风险票据”。需提供的要素信息包括：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（4）业务申请日期、业务种类（“买断式贴现”、“回购式贴现”）、不得转让标记（“不得转让”、“可再转让”）、业务批次号；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（6）贴入人要素信息；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（7）贴现利率、贴现利息；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（8）结算方式（“线上清算”、“线下清算”）、清算类型（“全额清算”）、结算日期、结算金额；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（9）申请人的入账账户名称、账号、开户行的参与者代码；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（10）承接机构与被承接机构的参与者代码（申请人要素信息中的账户开户机构发生承接的）；</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（11）业务种类为“回购式贴现”时，还需提供赎回开放日和赎回截止日。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2.贴现申请人的参与者服务机构向票交所发送申请，并向贴现申请人提示业务申请的处理结果。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3.贴现申请发起当日日终前，贴现申请人可以撤销待应答的贴现申请。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4.贴入人收到票交所转发的申请，对贴现申请进行应答，并向票交所发送应答结果（同意或拒绝）。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5.贴入人对贴现申请应答为“同意”的，票交所按照贴现申请中的结算方式进行票据资金清</w:t>
      </w:r>
      <w:r>
        <w:rPr>
          <w:rFonts w:hint="eastAsia" w:ascii="仿宋" w:hAnsi="仿宋" w:eastAsia="仿宋" w:cs="仿宋"/>
          <w:sz w:val="32"/>
          <w:szCs w:val="32"/>
          <w:lang w:eastAsia="zh-CN"/>
        </w:rPr>
        <w:t>算</w:t>
      </w:r>
      <w:r>
        <w:rPr>
          <w:rFonts w:hint="eastAsia" w:ascii="仿宋" w:hAnsi="仿宋" w:eastAsia="仿宋" w:cs="仿宋"/>
          <w:sz w:val="32"/>
          <w:szCs w:val="32"/>
        </w:rPr>
        <w:t>结算及票据权属转让变更处理（票据资金清算结算具体规则和流程详见本指南第“8.1 资金清算结算”章节，下同）。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6.贴现申请人通过参与者服务机构客户终端，查看票交所下发的贴现业务处理结果。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7.贴现申请当日日终，贴入人未应答的，票交所自动清退待应答的贴现申请，并通知贴现申请人和贴入人。</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586" w:name="_Toc7476"/>
      <w:bookmarkStart w:id="587" w:name="_Toc498"/>
      <w:bookmarkStart w:id="588" w:name="_Toc22667"/>
      <w:bookmarkStart w:id="589" w:name="_Toc934"/>
      <w:bookmarkStart w:id="590" w:name="_Toc22945"/>
      <w:bookmarkStart w:id="591" w:name="_Toc27701"/>
      <w:bookmarkStart w:id="592" w:name="_Toc15514"/>
      <w:bookmarkStart w:id="593" w:name="_Toc24522"/>
      <w:bookmarkStart w:id="594" w:name="_Toc30411"/>
      <w:bookmarkStart w:id="595" w:name="_Toc4633"/>
      <w:bookmarkStart w:id="596" w:name="_Toc4918"/>
      <w:bookmarkStart w:id="597" w:name="_Toc1166233506"/>
      <w:bookmarkStart w:id="598" w:name="_Toc24415"/>
      <w:bookmarkStart w:id="599" w:name="_Toc30523"/>
      <w:bookmarkStart w:id="600" w:name="_Toc5383"/>
      <w:bookmarkStart w:id="601" w:name="_Toc8951"/>
      <w:bookmarkStart w:id="602" w:name="_Toc18427"/>
      <w:r>
        <w:rPr>
          <w:rFonts w:hint="eastAsia" w:ascii="仿宋" w:hAnsi="仿宋" w:eastAsia="仿宋" w:cs="仿宋"/>
          <w:b/>
          <w:bCs/>
          <w:sz w:val="32"/>
          <w:szCs w:val="32"/>
        </w:rPr>
        <w:t>2.6.2 回购式贴现赎回</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回购式贴现的原贴现申请人、原贴入人应按照协议约定，在赎回开放期赎回票据。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原贴入人</w:t>
      </w:r>
      <w:r>
        <w:rPr>
          <w:rFonts w:hint="eastAsia" w:ascii="仿宋" w:hAnsi="仿宋" w:eastAsia="仿宋"/>
          <w:sz w:val="32"/>
          <w:szCs w:val="32"/>
        </w:rPr>
        <w:t>办理电票的回购式贴现赎回，应通过票交所发起回购式贴现赎回申请，由原贴现申请人作出应答。</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1.已完成回购式贴现、待赎回的票据，可以办理回购式贴现赎回。</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2.原贴入人、原贴现申请人应当与原贴现申请中的贴入人、贴现申请人分别保持一致。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3.赎回开放日&lt;=赎回申请日&lt;=赎回截止日。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4.回购式贴现赎回申请日期、结算日期必须为业务当前日期。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5.采用线上清算方式的，仅支持在营业日的业务时序和清算结算业务时序内办理；采用线下清算方式的，支持在营业日或节假日的业务时序内办理。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6.回购式贴现赎回金额应等于待赎回票据（包）金额。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7.贴现赎回利息=票据（包）金额*贴现赎回利率*贴现剩余天数/计息基准。其中：</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计息基准为360天。</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贴现剩余天数=票据（包）到期日（遇法定休假日、大额支付系统非营业日、票据业务系统非营业日顺延）-申请日期。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0&lt;=贴现赎回利率&lt;1。</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8.结算金额为贴现双方约定的贴现赎回实付金额。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0&lt;结算金额&lt;=票据（包）金额。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9.原贴现申请人通过金融机构发起贴现申请的，回购式贴现赎回的结算方式可以选择“线上清算”或“线下清算”；原贴现申请人通过供应链平台发起贴现申请的，回购式贴现赎回的结算方式选择“线下清算”。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10.原贴现申请人通过金融机构发起贴现申请，回购式贴现赎回采用线上清算的，资金出账账户应与原贴现申请时申请人要素信息保持一致。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11.赎回截止日日终（遇法定休假日、大额支付系统非营业日、票据业务系统非营业日</w:t>
      </w:r>
      <w:r>
        <w:rPr>
          <w:rFonts w:hint="eastAsia" w:ascii="仿宋" w:hAnsi="仿宋" w:eastAsia="仿宋" w:cs="仿宋"/>
          <w:b/>
          <w:bCs/>
          <w:sz w:val="32"/>
          <w:szCs w:val="32"/>
        </w:rPr>
        <w:t>不顺延</w:t>
      </w:r>
      <w:r>
        <w:rPr>
          <w:rFonts w:hint="eastAsia" w:ascii="仿宋" w:hAnsi="仿宋" w:eastAsia="仿宋" w:cs="仿宋"/>
          <w:sz w:val="32"/>
          <w:szCs w:val="32"/>
        </w:rPr>
        <w:t xml:space="preserve">）票据未赎回的，原贴入人在赎回截止日后，可将票据转让给他人或行使票据权利。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12</w:t>
      </w:r>
      <w:r>
        <w:rPr>
          <w:rFonts w:hint="eastAsia" w:ascii="仿宋" w:hAnsi="仿宋" w:eastAsia="仿宋" w:cs="仿宋"/>
          <w:bCs/>
          <w:color w:val="000000"/>
          <w:sz w:val="32"/>
          <w:szCs w:val="32"/>
          <w:lang w:bidi="ar"/>
        </w:rPr>
        <w:t>.贴现赎回应在赎回申请当日完成，贴现赎回申请当日日终仍未完成贴现赎回申请应答的，票交所对贴现赎回申请做清退处理。</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1.原贴入人选择要赎回的票据，向票交所发送回购式贴现赎回申请。票据风险状态应为“非风险票据”。需提供的要素信息包括：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（1）贴现赎回申请人要素信息；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（3）贴现赎回申请日期、业务种类（“贴现回购赎回申请”）、不得转让标记（“可再转让”）、业务批次号；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（4）其他处理意见、备注；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（5）赎回利率、赎回利息；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（6）结算方式（“线上清算”、“线下清算”）、清算类型（“全额清算”）、结算日期、结算金额；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（7）原贴现申请人的出账资金账户名称、账号、开户行的参与者代码。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2.原贴现申请人的参与者服务机构收到票交所转发的申请，通知原贴现申请人应答。</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3.贴现赎回申请发起当日日终前，原贴入人可以撤销待应答的贴现赎回申请。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4.原贴现申请人通过参与者服务机构客户终端，对收到的赎回申请进行应答（同意或拒绝）。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5.原贴现申请人对回购式贴现赎回申请应答为“同意”的，票交所按照贴现赎回申请中的结算方式进行票据资金清</w:t>
      </w:r>
      <w:r>
        <w:rPr>
          <w:rFonts w:hint="eastAsia" w:ascii="仿宋" w:hAnsi="仿宋" w:eastAsia="仿宋" w:cs="仿宋"/>
          <w:sz w:val="32"/>
          <w:szCs w:val="32"/>
          <w:lang w:eastAsia="zh-CN"/>
        </w:rPr>
        <w:t>算</w:t>
      </w:r>
      <w:r>
        <w:rPr>
          <w:rFonts w:hint="eastAsia" w:ascii="仿宋" w:hAnsi="仿宋" w:eastAsia="仿宋" w:cs="仿宋"/>
          <w:sz w:val="32"/>
          <w:szCs w:val="32"/>
        </w:rPr>
        <w:t>结算及票据权属转让变更处理。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6.原贴现申请人、贴入人接收并查看票交所下发的贴现赎回业务处理结果。</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7.</w:t>
      </w:r>
      <w:r>
        <w:rPr>
          <w:rFonts w:hint="eastAsia" w:ascii="仿宋" w:hAnsi="仿宋" w:eastAsia="仿宋" w:cs="仿宋"/>
          <w:sz w:val="32"/>
          <w:szCs w:val="32"/>
        </w:rPr>
        <w:t>回购式贴现赎回申请当日日终，原贴现申请人未应答的，票交所自动清退待应答的贴现赎回申请，并通知原贴入人和原贴现申请人。</w:t>
      </w:r>
    </w:p>
    <w:p>
      <w:pPr>
        <w:spacing w:line="590" w:lineRule="exact"/>
        <w:ind w:firstLine="640" w:firstLineChars="200"/>
        <w:rPr>
          <w:rFonts w:ascii="仿宋" w:hAnsi="仿宋" w:eastAsia="仿宋" w:cs="仿宋"/>
          <w:bCs/>
          <w:color w:val="000000"/>
          <w:sz w:val="32"/>
          <w:szCs w:val="32"/>
          <w:lang w:bidi="ar"/>
        </w:rPr>
      </w:pPr>
    </w:p>
    <w:p>
      <w:pPr>
        <w:numPr>
          <w:ilvl w:val="255"/>
          <w:numId w:val="0"/>
        </w:numPr>
        <w:spacing w:line="590" w:lineRule="exact"/>
        <w:ind w:firstLine="643" w:firstLineChars="200"/>
        <w:outlineLvl w:val="1"/>
        <w:rPr>
          <w:rFonts w:ascii="仿宋" w:hAnsi="仿宋" w:eastAsia="仿宋" w:cs="仿宋"/>
          <w:b/>
          <w:bCs/>
          <w:sz w:val="32"/>
          <w:szCs w:val="32"/>
        </w:rPr>
      </w:pPr>
      <w:bookmarkStart w:id="603" w:name="_Toc31683"/>
      <w:bookmarkStart w:id="604" w:name="_Toc20719"/>
      <w:bookmarkStart w:id="605" w:name="_Toc9797"/>
      <w:bookmarkStart w:id="606" w:name="_Toc29599"/>
      <w:bookmarkStart w:id="607" w:name="_Toc7137"/>
      <w:bookmarkStart w:id="608" w:name="_Toc22365"/>
      <w:bookmarkStart w:id="609" w:name="_Toc1641768422"/>
      <w:bookmarkStart w:id="610" w:name="_Toc6409"/>
      <w:bookmarkStart w:id="611" w:name="_Toc8418"/>
      <w:bookmarkStart w:id="612" w:name="_Toc13161"/>
      <w:bookmarkStart w:id="613" w:name="_Toc1151"/>
      <w:bookmarkStart w:id="614" w:name="_Toc3274"/>
      <w:bookmarkStart w:id="615" w:name="_Toc1817"/>
      <w:bookmarkStart w:id="616" w:name="_Toc5558"/>
      <w:bookmarkStart w:id="617" w:name="_Toc11441"/>
      <w:bookmarkStart w:id="618" w:name="_Toc2777"/>
      <w:bookmarkStart w:id="619" w:name="_Toc18788"/>
      <w:r>
        <w:rPr>
          <w:rFonts w:hint="eastAsia" w:ascii="仿宋" w:hAnsi="仿宋" w:eastAsia="仿宋" w:cs="仿宋"/>
          <w:b/>
          <w:bCs/>
          <w:sz w:val="32"/>
          <w:szCs w:val="32"/>
        </w:rPr>
        <w:t>2.7 标准化票据存托</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存托机构归集核心信用要素相似、期限相近的票据组成基础资产池。</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1.未记载“不得转让”标记的票据，可以办理存托。</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2.存托业务申请日期应当早于票据的票面到期日。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3.存托业务的申请人为根据存托协议约定将符合条件的商业汇票完成存托，取得相应对价的商业汇票持票人；存托业务的接收人为存托类产品。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4.未贴现票据作为基础资产发起存托申请时，票据（包）可分包的，存托金额可以小于或等于持票人持有票据（包）金额，但应为标准金额的整数倍。</w:t>
      </w:r>
      <w:r>
        <w:rPr>
          <w:rFonts w:hint="eastAsia" w:ascii="仿宋" w:hAnsi="仿宋" w:eastAsia="仿宋" w:cs="仿宋"/>
          <w:bCs/>
          <w:color w:val="000000"/>
          <w:sz w:val="32"/>
          <w:szCs w:val="32"/>
          <w:lang w:bidi="ar"/>
        </w:rPr>
        <w:t>存托申请的子票区间，应被包含于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已贴现票据作为基础资产发起存托申请时，存托金额应等于其持有票据（包）金额。</w:t>
      </w:r>
    </w:p>
    <w:p>
      <w:p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票据（包）不可分包的，存托金额应等于持票人持有票据（包）金额。</w:t>
      </w:r>
    </w:p>
    <w:p>
      <w:pPr>
        <w:spacing w:line="59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5.票据应付利息=</w:t>
      </w:r>
      <w:r>
        <w:rPr>
          <w:rFonts w:hint="eastAsia" w:ascii="仿宋" w:hAnsi="仿宋" w:eastAsia="仿宋" w:cs="仿宋"/>
          <w:sz w:val="32"/>
          <w:szCs w:val="32"/>
        </w:rPr>
        <w:t>票据（包）金额</w:t>
      </w:r>
      <w:r>
        <w:rPr>
          <w:rFonts w:hint="eastAsia" w:ascii="仿宋" w:hAnsi="仿宋" w:eastAsia="仿宋" w:cs="仿宋"/>
          <w:sz w:val="32"/>
          <w:szCs w:val="32"/>
          <w:lang w:val="en-US" w:eastAsia="zh-CN"/>
        </w:rPr>
        <w:t>*票据剩余天数*融资利率/计息基准。其中：</w:t>
      </w:r>
    </w:p>
    <w:p>
      <w:pPr>
        <w:spacing w:line="59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计息基准为360天。</w:t>
      </w:r>
    </w:p>
    <w:p>
      <w:pPr>
        <w:spacing w:line="59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票据剩余天数=</w:t>
      </w:r>
      <w:r>
        <w:rPr>
          <w:rFonts w:hint="eastAsia" w:ascii="仿宋" w:hAnsi="仿宋" w:eastAsia="仿宋" w:cs="仿宋"/>
          <w:sz w:val="32"/>
          <w:szCs w:val="32"/>
        </w:rPr>
        <w:t>票据（包）到期日（遇法定休假日、大额支付系统非营业日、票据业务系统非营业日顺延）-</w:t>
      </w:r>
      <w:r>
        <w:rPr>
          <w:rFonts w:hint="eastAsia" w:ascii="仿宋" w:hAnsi="仿宋" w:eastAsia="仿宋" w:cs="仿宋"/>
          <w:sz w:val="32"/>
          <w:szCs w:val="32"/>
          <w:lang w:eastAsia="zh-CN"/>
        </w:rPr>
        <w:t>当前系统</w:t>
      </w:r>
      <w:r>
        <w:rPr>
          <w:rFonts w:hint="eastAsia" w:ascii="仿宋" w:hAnsi="仿宋" w:eastAsia="仿宋" w:cs="仿宋"/>
          <w:sz w:val="32"/>
          <w:szCs w:val="32"/>
        </w:rPr>
        <w:t>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其他规则可参照《标准化票据基础资产托管结算规则》</w:t>
      </w:r>
      <w:r>
        <w:rPr>
          <w:rFonts w:hint="eastAsia" w:ascii="仿宋" w:hAnsi="仿宋" w:eastAsia="仿宋" w:cs="仿宋"/>
          <w:bCs/>
          <w:color w:val="000000"/>
          <w:sz w:val="32"/>
          <w:szCs w:val="32"/>
          <w:lang w:bidi="ar"/>
        </w:rPr>
        <w:t>（票交所</w:t>
      </w:r>
      <w:r>
        <w:rPr>
          <w:rFonts w:hint="eastAsia" w:ascii="仿宋" w:hAnsi="仿宋" w:eastAsia="仿宋" w:cs="仿宋"/>
          <w:sz w:val="32"/>
          <w:szCs w:val="32"/>
          <w:lang w:bidi="ar"/>
        </w:rPr>
        <w:t>公告〔2020〕3</w:t>
      </w:r>
      <w:r>
        <w:rPr>
          <w:rFonts w:hint="eastAsia" w:ascii="仿宋" w:hAnsi="仿宋" w:eastAsia="仿宋" w:cs="仿宋"/>
          <w:bCs/>
          <w:color w:val="000000"/>
          <w:sz w:val="32"/>
          <w:szCs w:val="32"/>
          <w:lang w:bidi="ar"/>
        </w:rPr>
        <w:t>号）。</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1.持票人选择持有票据（包），发起存托申请。票据风险状态应为“非风险票据”。需提供的要素信息包括：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rPr>
        <w:t>（2）申请人</w:t>
      </w:r>
      <w:r>
        <w:rPr>
          <w:rFonts w:hint="eastAsia" w:ascii="仿宋" w:hAnsi="仿宋" w:eastAsia="仿宋" w:cs="仿宋"/>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（3）接收人的参与者代码；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（5）基础资产类型（“已贴现票据”、“未贴现票据”）、结算方式（“线上清算”）、存托申请日期、存托利率上限、存托利率下限；</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（6）申请人（为企业等间接参与者时）的入账账户名称、账号、开户行的参与者代码。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2.持票人的参与者服务机构向票交所发送申请，并向持票人提示业务申请的处理结果。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3.票交所向存托接收人转发存托申请。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4.存托接收人可在收到的存托申请中，选择全部或部分票据，向票交所发送存托退票申请。需提供的要素信息包括：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（1）存托退票申请人（即存托接收人）的参与者代码；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（2）退票日期、退票类型（“主动退票”、“创设失败退票”）、退票说明；</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（3）存托申请单编号、退票票面金额、退票票据张数；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（4）（退票票据的）票据（包）号码、子票区间、票据（包）金额、标准金额。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票交所向存托接收人提示业务处理结果。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5.存托接收人发起存托退票申请且处理成功的，票交所将退票结果通知存托申请人的参与者服务机构，由其通知存托申请人。通知的要素信息包括：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（1）退票日期、退票类型、退票说明；</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（2）存托申请单编号；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（3）（退票票据的）票据（包）号码、子票区间、票据（包）金额、标准金额。</w:t>
      </w:r>
    </w:p>
    <w:p>
      <w:p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6.存托接收人向票交所发送存托退票申请，退票类型选择“创设失败退票”时，票交所将该存托类产品所有存托申请单下的票据办理退票，且标准化票据创设失败。</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票交所向存托申请人通知失败结果。</w:t>
      </w:r>
    </w:p>
    <w:p>
      <w:pPr>
        <w:numPr>
          <w:ilvl w:val="0"/>
          <w:numId w:val="11"/>
        </w:num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存托接收人应选择所有待清算的存托申请单发起同一应答，向票交所发送应答申请，存托应答类型选择“应答人确认存托范围”。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票交所向存托接收人提示业务处理结果。</w:t>
      </w:r>
    </w:p>
    <w:p>
      <w:pPr>
        <w:numPr>
          <w:ilvl w:val="0"/>
          <w:numId w:val="12"/>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存托接收人对存托申请应答成功的，票交所完成票据资金清</w:t>
      </w:r>
      <w:r>
        <w:rPr>
          <w:rFonts w:hint="eastAsia" w:ascii="仿宋" w:hAnsi="仿宋" w:eastAsia="仿宋" w:cs="仿宋"/>
          <w:sz w:val="32"/>
          <w:szCs w:val="32"/>
          <w:lang w:eastAsia="zh-CN"/>
        </w:rPr>
        <w:t>算</w:t>
      </w:r>
      <w:r>
        <w:rPr>
          <w:rFonts w:hint="eastAsia" w:ascii="仿宋" w:hAnsi="仿宋" w:eastAsia="仿宋" w:cs="仿宋"/>
          <w:sz w:val="32"/>
          <w:szCs w:val="32"/>
        </w:rPr>
        <w:t>结算，同时对票据权属作转让变更处理。</w:t>
      </w:r>
    </w:p>
    <w:p>
      <w:pPr>
        <w:numPr>
          <w:ilvl w:val="0"/>
          <w:numId w:val="12"/>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存托接收人对存托申请应答成功，但票交所结算存托资金失败的，存托接收人可对存托资金结算失败的申请单，发起存托退票申请。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未退票或未全部退票的结算失败申请单，存托接收人可再次向票交所发送应答申请（业务流程同上，存托应答类型选择“应答人再次发起清算”），票交所结算存托资金，同时对票据权属作转让变更处理。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10.存托接收人收到的全部申请单均结算失败，且申请单下所有票据均已办理存托退票的，则标准化票据产品创设失败。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票交所向存托申请人、存托接收人通知失败结果。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11.存托接收人对存托申请应答成功，且票交所结算存托资金成功的，标准化票据产品创设成功。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票交所向存托申请人、存托接收人通知创设结果，并向存托接收人通知结算结果和存托票据的详细信息。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12.存托申请待应答、存托申请已应答但结算失败且未退票的票据，票据到期日前一日日终，票交所进行退票处理，票交所向存托申请人、存托接收人通知退票结果。</w:t>
      </w:r>
    </w:p>
    <w:p>
      <w:pPr>
        <w:spacing w:line="590" w:lineRule="exact"/>
        <w:ind w:firstLine="643" w:firstLineChars="200"/>
        <w:rPr>
          <w:rFonts w:ascii="仿宋" w:hAnsi="仿宋" w:eastAsia="仿宋" w:cs="仿宋"/>
          <w:b/>
          <w:bCs/>
          <w:sz w:val="32"/>
          <w:szCs w:val="32"/>
        </w:rPr>
      </w:pPr>
    </w:p>
    <w:p>
      <w:pPr>
        <w:numPr>
          <w:ilvl w:val="255"/>
          <w:numId w:val="0"/>
        </w:numPr>
        <w:spacing w:line="590" w:lineRule="exact"/>
        <w:ind w:firstLine="643" w:firstLineChars="200"/>
        <w:outlineLvl w:val="1"/>
        <w:rPr>
          <w:rFonts w:ascii="仿宋" w:hAnsi="仿宋" w:eastAsia="仿宋" w:cs="仿宋"/>
          <w:b/>
          <w:bCs/>
          <w:sz w:val="32"/>
          <w:szCs w:val="32"/>
        </w:rPr>
      </w:pPr>
      <w:bookmarkStart w:id="620" w:name="_Toc4254"/>
      <w:bookmarkStart w:id="621" w:name="_Toc13092"/>
      <w:bookmarkStart w:id="622" w:name="_Toc32451"/>
      <w:bookmarkStart w:id="623" w:name="_Toc772"/>
      <w:bookmarkStart w:id="624" w:name="_Toc23362"/>
      <w:bookmarkStart w:id="625" w:name="_Toc27566"/>
      <w:bookmarkStart w:id="626" w:name="_Toc6382"/>
      <w:bookmarkStart w:id="627" w:name="_Toc11294"/>
      <w:bookmarkStart w:id="628" w:name="_Toc7391"/>
      <w:bookmarkStart w:id="629" w:name="_Toc26347"/>
      <w:bookmarkStart w:id="630" w:name="_Toc31738"/>
      <w:bookmarkStart w:id="631" w:name="_Toc4005"/>
      <w:bookmarkStart w:id="632" w:name="_Toc23448"/>
      <w:bookmarkStart w:id="633" w:name="_Toc8396"/>
      <w:bookmarkStart w:id="634" w:name="_Toc684281265"/>
      <w:bookmarkStart w:id="635" w:name="_Toc5918"/>
      <w:bookmarkStart w:id="636" w:name="_Toc25826"/>
      <w:bookmarkStart w:id="637" w:name="_Toc11947"/>
      <w:bookmarkStart w:id="638" w:name="_Toc16480"/>
      <w:bookmarkStart w:id="639" w:name="_Toc8344"/>
      <w:bookmarkStart w:id="640" w:name="_Toc25964"/>
      <w:bookmarkStart w:id="641" w:name="_Toc6021"/>
      <w:bookmarkStart w:id="642" w:name="_Toc21208"/>
      <w:r>
        <w:rPr>
          <w:rFonts w:hint="eastAsia" w:ascii="仿宋" w:hAnsi="仿宋" w:eastAsia="仿宋" w:cs="仿宋"/>
          <w:b/>
          <w:bCs/>
          <w:sz w:val="32"/>
          <w:szCs w:val="32"/>
        </w:rPr>
        <w:t>2.8 非交易过户</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非交易过户是指因法院判决、赠与等事由，业务双方通过票交所办理票据权属变更登记的行为。</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numPr>
          <w:ilvl w:val="0"/>
          <w:numId w:val="1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已贴现且未记载“不得转让”标记的票据，可以办理非交易过户。</w:t>
      </w:r>
    </w:p>
    <w:p>
      <w:pPr>
        <w:numPr>
          <w:ilvl w:val="0"/>
          <w:numId w:val="1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非交易过户的业务申请日期应早于票据的票面到期日。</w:t>
      </w:r>
    </w:p>
    <w:p>
      <w:pPr>
        <w:numPr>
          <w:ilvl w:val="0"/>
          <w:numId w:val="1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非交易过户的业务申请人、应答人均应为直接参与者。</w:t>
      </w:r>
    </w:p>
    <w:p>
      <w:pPr>
        <w:numPr>
          <w:ilvl w:val="0"/>
          <w:numId w:val="13"/>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非交易过户金额应等于持票人持有票据（包）金额</w:t>
      </w:r>
      <w:r>
        <w:rPr>
          <w:rFonts w:hint="eastAsia" w:ascii="仿宋" w:hAnsi="仿宋" w:eastAsia="仿宋" w:cs="仿宋"/>
          <w:bCs/>
          <w:color w:val="000000"/>
          <w:sz w:val="32"/>
          <w:szCs w:val="32"/>
          <w:lang w:bidi="ar"/>
        </w:rPr>
        <w:t>。</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numPr>
          <w:ilvl w:val="0"/>
          <w:numId w:val="14"/>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持票人</w:t>
      </w:r>
      <w:r>
        <w:rPr>
          <w:rFonts w:ascii="仿宋" w:hAnsi="仿宋" w:eastAsia="仿宋"/>
          <w:sz w:val="32"/>
          <w:szCs w:val="32"/>
        </w:rPr>
        <w:t>向</w:t>
      </w:r>
      <w:r>
        <w:rPr>
          <w:rFonts w:hint="eastAsia" w:ascii="仿宋" w:hAnsi="仿宋" w:eastAsia="仿宋"/>
          <w:sz w:val="32"/>
          <w:szCs w:val="32"/>
        </w:rPr>
        <w:t>票交所</w:t>
      </w:r>
      <w:r>
        <w:rPr>
          <w:rFonts w:hint="eastAsia" w:ascii="仿宋" w:hAnsi="仿宋" w:eastAsia="仿宋" w:cs="仿宋"/>
          <w:sz w:val="32"/>
          <w:szCs w:val="32"/>
        </w:rPr>
        <w:t>发送影像上传申请，登记非交易过户业务资料的相关影像信息。</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若上传成功，票交所返回影像批次号；若上传失败，反馈失败原因。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2.持票人选择持有票据（包），向票交所发送非交易过户申请。票据风险状态应为“非风险票据”。需提供的要素信息包括：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（1）业务双方信息；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（3）业务申请日期、过户原因；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（4）影像类型、影像批次号等非交易过户业务资料的影像信息；</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（5）备注。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3.票交所向接收人转发非交易过户申请。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4.申请发起当日日终前，申请人可以撤销待应答的非交易过户申请。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5.接收人对非交易过户申请进行应答，向票交所发送应答结果（同意或拒绝）。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6.接收人对非交易过户申请应答为“同意”的，票交所对票据权属作转让变更处理。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w:t>
      </w:r>
      <w:r>
        <w:rPr>
          <w:rFonts w:hint="eastAsia" w:ascii="仿宋" w:hAnsi="仿宋" w:eastAsia="仿宋" w:cs="仿宋"/>
          <w:sz w:val="32"/>
          <w:szCs w:val="32"/>
        </w:rPr>
        <w:t>持票人接收并查看票交所转发的接收人应答结果。</w:t>
      </w:r>
    </w:p>
    <w:p>
      <w:pPr>
        <w:spacing w:line="590" w:lineRule="exact"/>
        <w:ind w:firstLine="640" w:firstLineChars="200"/>
        <w:rPr>
          <w:rFonts w:ascii="仿宋" w:hAnsi="仿宋" w:eastAsia="仿宋" w:cs="仿宋"/>
          <w:b/>
          <w:sz w:val="32"/>
          <w:szCs w:val="32"/>
        </w:rPr>
      </w:pPr>
      <w:r>
        <w:rPr>
          <w:rFonts w:hint="eastAsia" w:ascii="仿宋" w:hAnsi="仿宋" w:eastAsia="仿宋" w:cs="仿宋"/>
          <w:sz w:val="32"/>
          <w:szCs w:val="32"/>
        </w:rPr>
        <w:t>8.非交易过户申请当日日终，接收人未应答的，票交所自动清退待应答的业务申请，并通知持票人和接收人。</w:t>
      </w:r>
    </w:p>
    <w:p>
      <w:pPr>
        <w:spacing w:line="590" w:lineRule="exact"/>
        <w:ind w:firstLine="643" w:firstLineChars="200"/>
        <w:rPr>
          <w:rFonts w:ascii="仿宋" w:hAnsi="仿宋" w:eastAsia="仿宋" w:cs="仿宋"/>
          <w:b/>
          <w:sz w:val="32"/>
          <w:szCs w:val="32"/>
        </w:rPr>
      </w:pPr>
    </w:p>
    <w:p>
      <w:pPr>
        <w:spacing w:line="590" w:lineRule="exact"/>
        <w:ind w:firstLine="643" w:firstLineChars="200"/>
        <w:outlineLvl w:val="1"/>
        <w:rPr>
          <w:rFonts w:ascii="楷体" w:hAnsi="楷体" w:eastAsia="楷体" w:cs="楷体"/>
          <w:bCs/>
          <w:sz w:val="32"/>
          <w:szCs w:val="32"/>
        </w:rPr>
      </w:pPr>
      <w:bookmarkStart w:id="643" w:name="_Toc15692"/>
      <w:bookmarkStart w:id="644" w:name="_Toc10503"/>
      <w:bookmarkStart w:id="645" w:name="_Toc1427"/>
      <w:bookmarkStart w:id="646" w:name="_Toc11963"/>
      <w:bookmarkStart w:id="647" w:name="_Toc7280"/>
      <w:bookmarkStart w:id="648" w:name="_Toc4410"/>
      <w:bookmarkStart w:id="649" w:name="_Toc31"/>
      <w:bookmarkStart w:id="650" w:name="_Toc18689"/>
      <w:bookmarkStart w:id="651" w:name="_Toc3230"/>
      <w:bookmarkStart w:id="652" w:name="_Toc414418670"/>
      <w:bookmarkStart w:id="653" w:name="_Toc23103"/>
      <w:bookmarkStart w:id="654" w:name="_Toc1734"/>
      <w:bookmarkStart w:id="655" w:name="_Toc25231"/>
      <w:bookmarkStart w:id="656" w:name="_Toc7859"/>
      <w:bookmarkStart w:id="657" w:name="_Toc8363"/>
      <w:bookmarkStart w:id="658" w:name="_Toc1219"/>
      <w:bookmarkStart w:id="659" w:name="_Toc22456"/>
      <w:r>
        <w:rPr>
          <w:rFonts w:hint="eastAsia" w:ascii="仿宋" w:hAnsi="仿宋" w:eastAsia="仿宋" w:cs="仿宋"/>
          <w:b/>
          <w:bCs/>
          <w:sz w:val="32"/>
          <w:szCs w:val="32"/>
        </w:rPr>
        <w:t xml:space="preserve">2.9 </w:t>
      </w:r>
      <w:bookmarkStart w:id="660" w:name="_Toc17371"/>
      <w:bookmarkStart w:id="661" w:name="_Toc9776"/>
      <w:bookmarkStart w:id="662" w:name="_Toc24529"/>
      <w:bookmarkStart w:id="663" w:name="_Toc5491"/>
      <w:r>
        <w:rPr>
          <w:rFonts w:hint="eastAsia" w:ascii="仿宋" w:hAnsi="仿宋" w:eastAsia="仿宋" w:cs="仿宋"/>
          <w:b/>
          <w:sz w:val="32"/>
          <w:szCs w:val="32"/>
        </w:rPr>
        <w:t>票据查验</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持票人或票据权利人（即照票人），将票据信息发送给规定或指定的对手方（即看票人），供对手方查看。</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1.提示收票未应答的票据，出票人只可向票据的收款人发起票据查验。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2.未贴现票据可以向规定或指定的对手方发起票据查验，已贴现票据只能向存托机构发起票据查验。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3.质押未解除票据的质权人不可发起票据查验。</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sz w:val="32"/>
          <w:szCs w:val="32"/>
        </w:rPr>
        <w:t>4.</w:t>
      </w:r>
      <w:r>
        <w:rPr>
          <w:rFonts w:hint="eastAsia" w:ascii="仿宋" w:hAnsi="仿宋" w:eastAsia="仿宋" w:cs="仿宋"/>
          <w:sz w:val="32"/>
          <w:szCs w:val="32"/>
        </w:rPr>
        <w:t>票据（包）可分包的，票据查验金额可以小于或等于持票人持有票据（包）金额</w:t>
      </w:r>
      <w:r>
        <w:rPr>
          <w:rFonts w:ascii="仿宋" w:hAnsi="仿宋" w:eastAsia="仿宋" w:cs="仿宋"/>
          <w:bCs/>
          <w:color w:val="000000"/>
          <w:sz w:val="32"/>
          <w:szCs w:val="32"/>
          <w:lang w:bidi="ar"/>
        </w:rPr>
        <w:t>，但应为标准金额的整数倍</w:t>
      </w:r>
      <w:r>
        <w:rPr>
          <w:rFonts w:hint="eastAsia" w:ascii="仿宋" w:hAnsi="仿宋" w:eastAsia="仿宋" w:cs="仿宋"/>
          <w:sz w:val="32"/>
          <w:szCs w:val="32"/>
        </w:rPr>
        <w:t>。</w:t>
      </w:r>
      <w:r>
        <w:rPr>
          <w:rFonts w:hint="eastAsia" w:ascii="仿宋" w:hAnsi="仿宋" w:eastAsia="仿宋" w:cs="仿宋"/>
          <w:bCs/>
          <w:color w:val="000000"/>
          <w:sz w:val="32"/>
          <w:szCs w:val="32"/>
          <w:lang w:bidi="ar"/>
        </w:rPr>
        <w:t>票据查验的子票区间，应被包含于</w:t>
      </w:r>
      <w:r>
        <w:rPr>
          <w:rFonts w:hint="eastAsia" w:ascii="仿宋" w:hAnsi="仿宋" w:eastAsia="仿宋" w:cs="仿宋"/>
          <w:sz w:val="32"/>
          <w:szCs w:val="32"/>
        </w:rPr>
        <w:t>持票人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票据（包）不可分包的，票据查验金额应等于持票人持有票据（包）金额。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5.票据查验金额小于票据（包）金额的，不对票据（包）进行分包处理。</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6.票据查验不改变票据权利人。</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sz w:val="32"/>
          <w:szCs w:val="32"/>
        </w:rPr>
        <w:t>1.照票人通过参与者服务机构客户终端，选择持有的票据（包），发起票据查验申请。</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（1）照票人要素信息；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（2）照票人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（4）业务申请日期、业务种类（“票据查验”）、业务批次号；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（6）看票人要素信息；</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（7）承接机构与被承接机构的参与者代码（照票人为企业等间接参与者时，要素信息中的账户开户机构发生承接的）。</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2.照票人的参与者服务机构</w:t>
      </w:r>
      <w:r>
        <w:rPr>
          <w:rFonts w:ascii="仿宋" w:hAnsi="仿宋" w:eastAsia="仿宋"/>
          <w:sz w:val="32"/>
          <w:szCs w:val="32"/>
        </w:rPr>
        <w:t>向</w:t>
      </w:r>
      <w:r>
        <w:rPr>
          <w:rFonts w:hint="eastAsia" w:ascii="仿宋" w:hAnsi="仿宋" w:eastAsia="仿宋"/>
          <w:sz w:val="32"/>
          <w:szCs w:val="32"/>
        </w:rPr>
        <w:t>票交所发送</w:t>
      </w:r>
      <w:r>
        <w:rPr>
          <w:rFonts w:ascii="仿宋" w:hAnsi="仿宋" w:eastAsia="仿宋"/>
          <w:sz w:val="32"/>
          <w:szCs w:val="32"/>
        </w:rPr>
        <w:t>申请</w:t>
      </w:r>
      <w:r>
        <w:rPr>
          <w:rFonts w:hint="eastAsia" w:ascii="仿宋" w:hAnsi="仿宋" w:eastAsia="仿宋"/>
          <w:sz w:val="32"/>
          <w:szCs w:val="32"/>
        </w:rPr>
        <w:t>，并向照票人提示业务申请的处理结果。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3.看票人的参与者服务机构收到</w:t>
      </w:r>
      <w:r>
        <w:rPr>
          <w:rFonts w:ascii="仿宋" w:hAnsi="仿宋" w:eastAsia="仿宋"/>
          <w:sz w:val="32"/>
          <w:szCs w:val="32"/>
        </w:rPr>
        <w:t>票交所</w:t>
      </w:r>
      <w:r>
        <w:rPr>
          <w:rFonts w:hint="eastAsia" w:ascii="仿宋" w:hAnsi="仿宋" w:eastAsia="仿宋"/>
          <w:sz w:val="32"/>
          <w:szCs w:val="32"/>
        </w:rPr>
        <w:t>下发的票据详细信息，通知看票</w:t>
      </w:r>
      <w:r>
        <w:rPr>
          <w:rFonts w:ascii="仿宋" w:hAnsi="仿宋" w:eastAsia="仿宋"/>
          <w:sz w:val="32"/>
          <w:szCs w:val="32"/>
        </w:rPr>
        <w:t>人</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664" w:name="_Toc11138"/>
      <w:bookmarkStart w:id="665" w:name="_Toc6691"/>
      <w:bookmarkStart w:id="666" w:name="_Toc30332"/>
      <w:bookmarkStart w:id="667" w:name="_Toc706166247"/>
      <w:bookmarkStart w:id="668" w:name="_Toc7866"/>
      <w:bookmarkStart w:id="669" w:name="_Toc17936"/>
      <w:bookmarkStart w:id="670" w:name="_Toc8089"/>
      <w:bookmarkStart w:id="671" w:name="_Toc10447"/>
      <w:r>
        <w:rPr>
          <w:rFonts w:hint="eastAsia" w:ascii="仿宋" w:hAnsi="仿宋" w:eastAsia="仿宋" w:cs="仿宋"/>
          <w:b/>
          <w:sz w:val="32"/>
          <w:szCs w:val="32"/>
        </w:rPr>
        <w:t>2.10 “不得转让”标记的撤销</w:t>
      </w:r>
      <w:bookmarkEnd w:id="617"/>
      <w:bookmarkEnd w:id="618"/>
      <w:bookmarkEnd w:id="619"/>
      <w:bookmarkEnd w:id="637"/>
      <w:bookmarkEnd w:id="638"/>
      <w:bookmarkEnd w:id="639"/>
      <w:bookmarkEnd w:id="640"/>
      <w:bookmarkEnd w:id="641"/>
      <w:bookmarkEnd w:id="642"/>
      <w:bookmarkEnd w:id="664"/>
      <w:bookmarkEnd w:id="665"/>
      <w:bookmarkEnd w:id="666"/>
      <w:bookmarkEnd w:id="667"/>
      <w:bookmarkEnd w:id="668"/>
      <w:bookmarkEnd w:id="669"/>
      <w:bookmarkEnd w:id="670"/>
      <w:bookmarkEnd w:id="671"/>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背书人在票据上记载了“不得转让”标记的，经记载人（原背书人）同意，持票人（原被背书人）可以发起不得转让撤销申请，申请撤销“不得转让”标记。</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1.</w:t>
      </w:r>
      <w:r>
        <w:rPr>
          <w:rFonts w:hint="eastAsia" w:ascii="仿宋" w:hAnsi="仿宋" w:eastAsia="仿宋" w:cs="仿宋"/>
          <w:bCs/>
          <w:color w:val="000000"/>
          <w:sz w:val="32"/>
          <w:szCs w:val="32"/>
          <w:lang w:bidi="ar"/>
        </w:rPr>
        <w:t>“不得转让”标记撤销申请的票据（包）金额，应等于持票人持有票据（包）金额，子票区间与持有票据（包）子票区间一致。</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“不得转让”标记撤销业务的申请日期应早于票据的票面到期日。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bCs/>
          <w:color w:val="000000"/>
          <w:sz w:val="32"/>
          <w:szCs w:val="32"/>
          <w:lang w:bidi="ar"/>
        </w:rPr>
        <w:t>“不得转让”标记撤销应在票据到期日前完成，票据的票面到期日前一日日终仍未完成“不得转让”标记撤销申请应答的，票交所对申请做清退处理。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4.已冻结票据不可撤销“不得转让”标记。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已撤销“不得转让”标记的票据可以继续流转。</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持票人通过参与者服务机构客户终端，选择要撤销“不得转让”标记的票据，发起不得转让撤销</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（1）撤销申请人要素信息；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（2）撤销申请人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（4）业务申请日期、业务种类（“不得转让撤销”）、业务批次号；</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（6）承接机构与被承接机构的参与者代码（撤销申请人为企业等间接参与者时，要素信息中的账户开户机构发生承接的）。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持票人的参与者服务机构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，并向持票人提示业务申请的处理结果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原背书人的参与者服务机构</w:t>
      </w:r>
      <w:r>
        <w:rPr>
          <w:rFonts w:hint="eastAsia" w:ascii="仿宋" w:hAnsi="仿宋" w:eastAsia="仿宋" w:cs="仿宋"/>
          <w:bCs/>
          <w:color w:val="000000"/>
          <w:sz w:val="32"/>
          <w:szCs w:val="32"/>
          <w:lang w:bidi="ar"/>
        </w:rPr>
        <w:t>收到票交所转发的申请，</w:t>
      </w:r>
      <w:r>
        <w:rPr>
          <w:rFonts w:ascii="仿宋" w:hAnsi="仿宋" w:eastAsia="仿宋" w:cs="仿宋"/>
          <w:bCs/>
          <w:color w:val="000000"/>
          <w:sz w:val="32"/>
          <w:szCs w:val="32"/>
          <w:lang w:bidi="ar"/>
        </w:rPr>
        <w:t>检查</w:t>
      </w:r>
      <w:r>
        <w:rPr>
          <w:rFonts w:hint="eastAsia" w:ascii="仿宋" w:hAnsi="仿宋" w:eastAsia="仿宋" w:cs="仿宋"/>
          <w:bCs/>
          <w:color w:val="000000"/>
          <w:sz w:val="32"/>
          <w:szCs w:val="32"/>
          <w:lang w:bidi="ar"/>
        </w:rPr>
        <w:t>原</w:t>
      </w:r>
      <w:r>
        <w:rPr>
          <w:rFonts w:ascii="仿宋" w:hAnsi="仿宋" w:eastAsia="仿宋" w:cs="仿宋"/>
          <w:bCs/>
          <w:color w:val="000000"/>
          <w:sz w:val="32"/>
          <w:szCs w:val="32"/>
          <w:lang w:bidi="ar"/>
        </w:rPr>
        <w:t>背书人的名称、账号等信息，检查通过的，</w:t>
      </w:r>
      <w:r>
        <w:rPr>
          <w:rFonts w:hint="eastAsia" w:ascii="仿宋" w:hAnsi="仿宋" w:eastAsia="仿宋" w:cs="仿宋"/>
          <w:bCs/>
          <w:color w:val="000000"/>
          <w:sz w:val="32"/>
          <w:szCs w:val="32"/>
          <w:lang w:bidi="ar"/>
        </w:rPr>
        <w:t>通知</w:t>
      </w:r>
      <w:r>
        <w:rPr>
          <w:rFonts w:ascii="仿宋" w:hAnsi="仿宋" w:eastAsia="仿宋" w:cs="仿宋"/>
          <w:bCs/>
          <w:color w:val="000000"/>
          <w:sz w:val="32"/>
          <w:szCs w:val="32"/>
          <w:lang w:bidi="ar"/>
        </w:rPr>
        <w:t>原背书</w:t>
      </w:r>
      <w:r>
        <w:rPr>
          <w:rFonts w:hint="eastAsia" w:ascii="仿宋" w:hAnsi="仿宋" w:eastAsia="仿宋" w:cs="仿宋"/>
          <w:bCs/>
          <w:color w:val="000000"/>
          <w:sz w:val="32"/>
          <w:szCs w:val="32"/>
          <w:lang w:bidi="ar"/>
        </w:rPr>
        <w:t>人。</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检查不通过的，向票交所</w:t>
      </w:r>
      <w:r>
        <w:rPr>
          <w:rFonts w:hint="eastAsia" w:ascii="仿宋" w:hAnsi="仿宋" w:eastAsia="仿宋" w:cs="仿宋"/>
          <w:bCs/>
          <w:color w:val="000000"/>
          <w:sz w:val="32"/>
          <w:szCs w:val="32"/>
          <w:lang w:bidi="ar"/>
        </w:rPr>
        <w:t>返回处理失败结果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sz w:val="32"/>
          <w:szCs w:val="32"/>
        </w:rPr>
        <w:t>票据的票面到期日前（不含到期日），持票人可以撤销待应答的</w:t>
      </w:r>
      <w:r>
        <w:rPr>
          <w:rFonts w:hint="eastAsia" w:ascii="仿宋" w:hAnsi="仿宋" w:eastAsia="仿宋" w:cs="仿宋"/>
          <w:bCs/>
          <w:color w:val="000000"/>
          <w:sz w:val="32"/>
          <w:szCs w:val="32"/>
          <w:lang w:bidi="ar"/>
        </w:rPr>
        <w:t>“不得转让”标记撤销</w:t>
      </w:r>
      <w:r>
        <w:rPr>
          <w:rFonts w:hint="eastAsia" w:ascii="仿宋" w:hAnsi="仿宋" w:eastAsia="仿宋" w:cs="仿宋"/>
          <w:sz w:val="32"/>
          <w:szCs w:val="32"/>
        </w:rPr>
        <w:t>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原背书人</w:t>
      </w:r>
      <w:r>
        <w:rPr>
          <w:rFonts w:hint="eastAsia" w:ascii="仿宋" w:hAnsi="仿宋" w:eastAsia="仿宋" w:cs="仿宋"/>
          <w:bCs/>
          <w:color w:val="000000"/>
          <w:sz w:val="32"/>
          <w:szCs w:val="32"/>
          <w:lang w:bidi="ar"/>
        </w:rPr>
        <w:t>通过参与者服务机构客户终端，对收到的不得转让撤销申请进行应答（同意或拒绝）。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.原背书人</w:t>
      </w:r>
      <w:r>
        <w:rPr>
          <w:rFonts w:hint="eastAsia" w:ascii="仿宋" w:hAnsi="仿宋" w:eastAsia="仿宋" w:cs="仿宋"/>
          <w:bCs/>
          <w:color w:val="000000"/>
          <w:sz w:val="32"/>
          <w:szCs w:val="32"/>
          <w:lang w:bidi="ar"/>
        </w:rPr>
        <w:t>的参与者服务机构向票交所发送</w:t>
      </w:r>
      <w:r>
        <w:rPr>
          <w:rFonts w:ascii="仿宋" w:hAnsi="仿宋" w:eastAsia="仿宋" w:cs="仿宋"/>
          <w:bCs/>
          <w:color w:val="000000"/>
          <w:sz w:val="32"/>
          <w:szCs w:val="32"/>
          <w:lang w:bidi="ar"/>
        </w:rPr>
        <w:t>原背书</w:t>
      </w:r>
      <w:r>
        <w:rPr>
          <w:rFonts w:hint="eastAsia" w:ascii="仿宋" w:hAnsi="仿宋" w:eastAsia="仿宋" w:cs="仿宋"/>
          <w:bCs/>
          <w:color w:val="000000"/>
          <w:sz w:val="32"/>
          <w:szCs w:val="32"/>
          <w:lang w:bidi="ar"/>
        </w:rPr>
        <w:t>人应答结果，并向</w:t>
      </w:r>
      <w:r>
        <w:rPr>
          <w:rFonts w:ascii="仿宋" w:hAnsi="仿宋" w:eastAsia="仿宋" w:cs="仿宋"/>
          <w:bCs/>
          <w:color w:val="000000"/>
          <w:sz w:val="32"/>
          <w:szCs w:val="32"/>
          <w:lang w:bidi="ar"/>
        </w:rPr>
        <w:t>原背书</w:t>
      </w:r>
      <w:r>
        <w:rPr>
          <w:rFonts w:hint="eastAsia" w:ascii="仿宋" w:hAnsi="仿宋" w:eastAsia="仿宋" w:cs="仿宋"/>
          <w:bCs/>
          <w:color w:val="000000"/>
          <w:sz w:val="32"/>
          <w:szCs w:val="32"/>
          <w:lang w:bidi="ar"/>
        </w:rPr>
        <w:t>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持票人的参与者服务机构收到票交所转发的应答结果，通知持票人。</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1"/>
        <w:rPr>
          <w:rFonts w:ascii="仿宋" w:hAnsi="仿宋" w:eastAsia="仿宋" w:cs="仿宋"/>
          <w:b/>
          <w:sz w:val="32"/>
          <w:szCs w:val="32"/>
        </w:rPr>
      </w:pPr>
      <w:bookmarkStart w:id="672" w:name="_Toc7186"/>
      <w:bookmarkStart w:id="673" w:name="_Toc4821"/>
      <w:bookmarkStart w:id="674" w:name="_Toc8503"/>
      <w:bookmarkStart w:id="675" w:name="_Toc751"/>
      <w:bookmarkStart w:id="676" w:name="_Toc20392"/>
      <w:bookmarkStart w:id="677" w:name="_Toc7544"/>
      <w:bookmarkStart w:id="678" w:name="_Toc23072"/>
      <w:bookmarkStart w:id="679" w:name="_Toc981932852"/>
      <w:bookmarkStart w:id="680" w:name="_Toc11882"/>
      <w:bookmarkStart w:id="681" w:name="_Toc30893"/>
      <w:bookmarkStart w:id="682" w:name="_Toc30106"/>
      <w:bookmarkStart w:id="683" w:name="_Toc10552"/>
      <w:bookmarkStart w:id="684" w:name="_Toc10597"/>
      <w:bookmarkStart w:id="685" w:name="_Toc12248"/>
      <w:bookmarkStart w:id="686" w:name="_Toc4193"/>
      <w:bookmarkStart w:id="687" w:name="_Toc19462"/>
      <w:bookmarkStart w:id="688" w:name="_Toc32703"/>
      <w:r>
        <w:rPr>
          <w:rFonts w:hint="eastAsia" w:ascii="仿宋" w:hAnsi="仿宋" w:eastAsia="仿宋" w:cs="仿宋"/>
          <w:b/>
          <w:sz w:val="32"/>
          <w:szCs w:val="32"/>
        </w:rPr>
        <w:t>2.11 冻结和冻结解除登记</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spacing w:line="590" w:lineRule="exact"/>
        <w:ind w:firstLine="643" w:firstLineChars="200"/>
        <w:outlineLvl w:val="2"/>
        <w:rPr>
          <w:rFonts w:ascii="仿宋" w:hAnsi="仿宋" w:eastAsia="仿宋" w:cs="楷体"/>
          <w:b/>
          <w:sz w:val="32"/>
          <w:szCs w:val="32"/>
        </w:rPr>
      </w:pPr>
      <w:bookmarkStart w:id="689" w:name="_Toc10893"/>
      <w:bookmarkStart w:id="690" w:name="_Toc15963"/>
      <w:bookmarkStart w:id="691" w:name="_Toc8876"/>
      <w:bookmarkStart w:id="692" w:name="_Toc27193"/>
      <w:bookmarkStart w:id="693" w:name="_Toc955982787"/>
      <w:bookmarkStart w:id="694" w:name="_Toc30750"/>
      <w:bookmarkStart w:id="695" w:name="_Toc11716"/>
      <w:bookmarkStart w:id="696" w:name="_Toc15572"/>
      <w:bookmarkStart w:id="697" w:name="_Toc12398"/>
      <w:bookmarkStart w:id="698" w:name="_Toc32038"/>
      <w:bookmarkStart w:id="699" w:name="_Toc6065"/>
      <w:bookmarkStart w:id="700" w:name="_Toc25770"/>
      <w:bookmarkStart w:id="701" w:name="_Toc10167"/>
      <w:bookmarkStart w:id="702" w:name="_Toc32752"/>
      <w:bookmarkStart w:id="703" w:name="_Toc23431"/>
      <w:bookmarkStart w:id="704" w:name="_Toc5856"/>
      <w:bookmarkStart w:id="705" w:name="_Toc19148"/>
      <w:r>
        <w:rPr>
          <w:rFonts w:hint="eastAsia" w:ascii="仿宋" w:hAnsi="仿宋" w:eastAsia="仿宋" w:cs="楷体"/>
          <w:b/>
          <w:sz w:val="32"/>
          <w:szCs w:val="32"/>
        </w:rPr>
        <w:t>2.11</w:t>
      </w:r>
      <w:r>
        <w:rPr>
          <w:rFonts w:ascii="仿宋" w:hAnsi="仿宋" w:eastAsia="仿宋" w:cs="楷体"/>
          <w:b/>
          <w:sz w:val="32"/>
          <w:szCs w:val="32"/>
        </w:rPr>
        <w:t>.1</w:t>
      </w:r>
      <w:r>
        <w:rPr>
          <w:rFonts w:hint="eastAsia" w:ascii="仿宋" w:hAnsi="仿宋" w:eastAsia="仿宋" w:cs="楷体"/>
          <w:b/>
          <w:sz w:val="32"/>
          <w:szCs w:val="32"/>
        </w:rPr>
        <w:t xml:space="preserve"> 冻结登记</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承兑人或其参与者服务机构收到司法机关的冻结法律文书后，依据法律文书等有效证明文件进行票据冻结登记。</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1.登记人应提示冻结机关先查明持票人，再视情况决定是否进行票据冻结登记，防止损害善意持票人合法权益。</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2.登记人协助有权机关进行票据冻结登记的，应向冻结机关解释票交所冻结业务处理规则，并确保冻结登记的票据信息与冻结法律文书记载的票据信息保持一致。</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hint="eastAsia" w:ascii="仿宋" w:hAnsi="仿宋" w:eastAsia="仿宋" w:cs="仿宋"/>
          <w:bCs/>
          <w:color w:val="000000"/>
          <w:sz w:val="32"/>
          <w:szCs w:val="32"/>
          <w:lang w:eastAsia="zh-Hans" w:bidi="ar"/>
        </w:rPr>
        <w:t>提示付款</w:t>
      </w:r>
      <w:r>
        <w:rPr>
          <w:rFonts w:hint="eastAsia" w:ascii="仿宋" w:hAnsi="仿宋" w:eastAsia="仿宋" w:cs="仿宋"/>
          <w:bCs/>
          <w:color w:val="000000"/>
          <w:sz w:val="32"/>
          <w:szCs w:val="32"/>
          <w:lang w:bidi="ar"/>
        </w:rPr>
        <w:t>应答同意后、</w:t>
      </w:r>
      <w:r>
        <w:rPr>
          <w:rFonts w:hint="eastAsia" w:ascii="仿宋" w:hAnsi="仿宋" w:eastAsia="仿宋" w:cs="仿宋"/>
          <w:bCs/>
          <w:color w:val="000000"/>
          <w:sz w:val="32"/>
          <w:szCs w:val="32"/>
          <w:lang w:eastAsia="zh-Hans" w:bidi="ar"/>
        </w:rPr>
        <w:t>完成清</w:t>
      </w:r>
      <w:r>
        <w:rPr>
          <w:rFonts w:hint="eastAsia" w:ascii="仿宋" w:hAnsi="仿宋" w:eastAsia="仿宋" w:cs="仿宋"/>
          <w:bCs/>
          <w:color w:val="000000"/>
          <w:sz w:val="32"/>
          <w:szCs w:val="32"/>
          <w:lang w:eastAsia="zh-CN" w:bidi="ar"/>
        </w:rPr>
        <w:t>算</w:t>
      </w:r>
      <w:r>
        <w:rPr>
          <w:rFonts w:hint="eastAsia" w:ascii="仿宋" w:hAnsi="仿宋" w:eastAsia="仿宋" w:cs="仿宋"/>
          <w:bCs/>
          <w:color w:val="000000"/>
          <w:sz w:val="32"/>
          <w:szCs w:val="32"/>
          <w:lang w:eastAsia="zh-Hans" w:bidi="ar"/>
        </w:rPr>
        <w:t>结算前</w:t>
      </w:r>
      <w:r>
        <w:rPr>
          <w:rFonts w:hint="eastAsia" w:ascii="仿宋" w:hAnsi="仿宋" w:eastAsia="仿宋" w:cs="仿宋"/>
          <w:bCs/>
          <w:color w:val="000000"/>
          <w:sz w:val="32"/>
          <w:szCs w:val="32"/>
          <w:lang w:bidi="ar"/>
        </w:rPr>
        <w:t>，</w:t>
      </w:r>
      <w:r>
        <w:rPr>
          <w:rFonts w:hint="eastAsia" w:ascii="仿宋" w:hAnsi="仿宋" w:eastAsia="仿宋" w:cs="仿宋"/>
          <w:bCs/>
          <w:color w:val="000000"/>
          <w:sz w:val="32"/>
          <w:szCs w:val="32"/>
          <w:lang w:eastAsia="zh-Hans" w:bidi="ar"/>
        </w:rPr>
        <w:t>不能办理</w:t>
      </w:r>
      <w:r>
        <w:rPr>
          <w:rFonts w:hint="eastAsia" w:ascii="仿宋" w:hAnsi="仿宋" w:eastAsia="仿宋" w:cs="仿宋"/>
          <w:sz w:val="32"/>
          <w:szCs w:val="32"/>
        </w:rPr>
        <w:t>冻结登记。</w:t>
      </w:r>
    </w:p>
    <w:p>
      <w:pPr>
        <w:spacing w:line="590" w:lineRule="exact"/>
        <w:ind w:firstLine="640" w:firstLineChars="200"/>
        <w:rPr>
          <w:rFonts w:hint="eastAsia" w:ascii="仿宋" w:hAnsi="仿宋" w:eastAsia="仿宋" w:cs="仿宋"/>
          <w:bCs/>
          <w:color w:val="000000"/>
          <w:sz w:val="32"/>
          <w:szCs w:val="32"/>
          <w:lang w:bidi="ar"/>
        </w:rPr>
      </w:pPr>
      <w:r>
        <w:rPr>
          <w:rFonts w:hint="eastAsia" w:ascii="仿宋" w:hAnsi="仿宋" w:eastAsia="仿宋" w:cs="仿宋"/>
          <w:bCs/>
          <w:color w:val="000000"/>
          <w:sz w:val="32"/>
          <w:szCs w:val="32"/>
          <w:lang w:bidi="ar"/>
        </w:rPr>
        <w:t>4.冻结登记完成后冻结控制即时生效，</w:t>
      </w:r>
      <w:r>
        <w:rPr>
          <w:rFonts w:hint="eastAsia" w:ascii="仿宋" w:hAnsi="仿宋" w:eastAsia="仿宋" w:cs="仿宋"/>
          <w:bCs/>
          <w:color w:val="000000"/>
          <w:sz w:val="32"/>
          <w:szCs w:val="32"/>
          <w:lang w:eastAsia="zh-Hans" w:bidi="ar"/>
        </w:rPr>
        <w:t>已</w:t>
      </w:r>
      <w:r>
        <w:rPr>
          <w:rFonts w:hint="eastAsia" w:ascii="仿宋" w:hAnsi="仿宋" w:eastAsia="仿宋" w:cs="仿宋"/>
          <w:bCs/>
          <w:color w:val="000000"/>
          <w:sz w:val="32"/>
          <w:szCs w:val="32"/>
          <w:lang w:bidi="ar"/>
        </w:rPr>
        <w:t>办理冻结登记的票据，</w:t>
      </w:r>
      <w:r>
        <w:rPr>
          <w:rFonts w:hint="eastAsia" w:ascii="仿宋" w:hAnsi="仿宋" w:eastAsia="仿宋" w:cs="仿宋"/>
          <w:bCs/>
          <w:color w:val="000000"/>
          <w:sz w:val="32"/>
          <w:szCs w:val="32"/>
          <w:lang w:eastAsia="zh-CN" w:bidi="ar"/>
        </w:rPr>
        <w:t>即时起</w:t>
      </w:r>
      <w:r>
        <w:rPr>
          <w:rFonts w:hint="eastAsia" w:ascii="仿宋" w:hAnsi="仿宋" w:eastAsia="仿宋" w:cs="仿宋"/>
          <w:bCs/>
          <w:color w:val="000000"/>
          <w:sz w:val="32"/>
          <w:szCs w:val="32"/>
          <w:lang w:bidi="ar"/>
        </w:rPr>
        <w:t>不可进行背书、贴现、保证、质押、交易</w:t>
      </w:r>
      <w:r>
        <w:rPr>
          <w:rFonts w:hint="eastAsia" w:ascii="仿宋" w:hAnsi="仿宋" w:eastAsia="仿宋" w:cs="仿宋"/>
          <w:bCs/>
          <w:color w:val="000000"/>
          <w:sz w:val="32"/>
          <w:szCs w:val="32"/>
          <w:lang w:eastAsia="zh-Hans" w:bidi="ar"/>
        </w:rPr>
        <w:t>、追索</w:t>
      </w:r>
      <w:r>
        <w:rPr>
          <w:rFonts w:hint="eastAsia" w:ascii="仿宋" w:hAnsi="仿宋" w:eastAsia="仿宋" w:cs="仿宋"/>
          <w:bCs/>
          <w:color w:val="000000"/>
          <w:sz w:val="32"/>
          <w:szCs w:val="32"/>
          <w:lang w:bidi="ar"/>
        </w:rPr>
        <w:t>等业务处理。</w:t>
      </w:r>
    </w:p>
    <w:p>
      <w:pPr>
        <w:spacing w:line="590" w:lineRule="exact"/>
        <w:ind w:firstLine="640" w:firstLineChars="200"/>
        <w:rPr>
          <w:rFonts w:hint="eastAsia" w:ascii="仿宋" w:hAnsi="仿宋" w:eastAsia="仿宋" w:cs="仿宋"/>
          <w:bCs/>
          <w:color w:val="000000"/>
          <w:sz w:val="32"/>
          <w:szCs w:val="32"/>
          <w:lang w:eastAsia="zh-CN" w:bidi="ar"/>
        </w:rPr>
      </w:pPr>
      <w:r>
        <w:rPr>
          <w:rFonts w:hint="eastAsia" w:ascii="仿宋" w:hAnsi="仿宋" w:eastAsia="仿宋" w:cs="仿宋"/>
          <w:bCs/>
          <w:color w:val="000000"/>
          <w:sz w:val="32"/>
          <w:szCs w:val="32"/>
          <w:lang w:bidi="ar"/>
        </w:rPr>
        <w:t>该票据被冻结后，可以发起提示付款，符合付款条件的，可以解除冻结并作出同意付款应答</w:t>
      </w:r>
      <w:r>
        <w:rPr>
          <w:rFonts w:hint="eastAsia" w:ascii="仿宋" w:hAnsi="仿宋" w:eastAsia="仿宋" w:cs="仿宋"/>
          <w:bCs/>
          <w:color w:val="000000"/>
          <w:sz w:val="32"/>
          <w:szCs w:val="32"/>
          <w:lang w:eastAsia="zh-CN" w:bidi="ar"/>
        </w:rPr>
        <w:t>；</w:t>
      </w:r>
      <w:r>
        <w:rPr>
          <w:rFonts w:hint="eastAsia" w:ascii="仿宋" w:hAnsi="仿宋" w:eastAsia="仿宋" w:cs="仿宋"/>
          <w:bCs/>
          <w:color w:val="000000"/>
          <w:sz w:val="32"/>
          <w:szCs w:val="32"/>
          <w:lang w:bidi="ar"/>
        </w:rPr>
        <w:t>经承兑人审查具有依法拒付合理理由的，作出拒绝付款应答</w:t>
      </w:r>
      <w:r>
        <w:rPr>
          <w:rFonts w:hint="eastAsia" w:ascii="仿宋" w:hAnsi="仿宋" w:eastAsia="仿宋" w:cs="仿宋"/>
          <w:bCs/>
          <w:color w:val="000000"/>
          <w:sz w:val="32"/>
          <w:szCs w:val="32"/>
          <w:lang w:eastAsia="zh-CN" w:bidi="ar"/>
        </w:rPr>
        <w:t>（</w:t>
      </w:r>
      <w:r>
        <w:rPr>
          <w:rFonts w:hint="eastAsia" w:ascii="仿宋" w:hAnsi="仿宋" w:eastAsia="仿宋" w:cs="仿宋"/>
          <w:bCs/>
          <w:color w:val="000000"/>
          <w:sz w:val="32"/>
          <w:szCs w:val="32"/>
          <w:lang w:bidi="ar"/>
        </w:rPr>
        <w:t>日终仍未进行应答的，视同拒绝付款</w:t>
      </w:r>
      <w:r>
        <w:rPr>
          <w:rFonts w:hint="eastAsia" w:ascii="仿宋" w:hAnsi="仿宋" w:eastAsia="仿宋" w:cs="仿宋"/>
          <w:bCs/>
          <w:color w:val="000000"/>
          <w:sz w:val="32"/>
          <w:szCs w:val="32"/>
          <w:lang w:eastAsia="zh-CN" w:bidi="ar"/>
        </w:rPr>
        <w:t>）</w:t>
      </w:r>
      <w:r>
        <w:rPr>
          <w:rFonts w:hint="eastAsia" w:ascii="仿宋" w:hAnsi="仿宋" w:eastAsia="仿宋" w:cs="仿宋"/>
          <w:bCs/>
          <w:color w:val="000000"/>
          <w:sz w:val="32"/>
          <w:szCs w:val="32"/>
          <w:lang w:bidi="ar"/>
        </w:rPr>
        <w:t>。</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登记人选择要冻结的票据，</w:t>
      </w:r>
      <w:r>
        <w:rPr>
          <w:rFonts w:ascii="仿宋" w:hAnsi="仿宋" w:eastAsia="仿宋" w:cs="仿宋"/>
          <w:bCs/>
          <w:color w:val="000000"/>
          <w:sz w:val="32"/>
          <w:szCs w:val="32"/>
          <w:lang w:bidi="ar"/>
        </w:rPr>
        <w:t>发</w:t>
      </w:r>
      <w:r>
        <w:rPr>
          <w:rFonts w:hint="eastAsia" w:ascii="仿宋" w:hAnsi="仿宋" w:eastAsia="仿宋" w:cs="仿宋"/>
          <w:bCs/>
          <w:color w:val="000000"/>
          <w:sz w:val="32"/>
          <w:szCs w:val="32"/>
          <w:lang w:bidi="ar"/>
        </w:rPr>
        <w:t>起冻结登记。需提供的要素信息包括：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（2）登记人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（4）业务申请日期、业务种类（“冻结（解除）登记”）、业务批次号、登记类型（“司法冻结”）、冻结日期（司法机关法律文书要求冻结的起始日期）；</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（6）附件类型、附件</w:t>
      </w:r>
      <w:r>
        <w:rPr>
          <w:rFonts w:hint="eastAsia" w:ascii="仿宋" w:hAnsi="仿宋" w:eastAsia="仿宋"/>
          <w:sz w:val="32"/>
          <w:szCs w:val="32"/>
        </w:rPr>
        <w:t>批次号等法律文书等有效证明文件的附件信息</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登记人的参与者服务机构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发送冻结登记信息。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票交所向登记人的参与者服务机构反馈处理结果，由其提示登记人。</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color w:val="000000"/>
          <w:sz w:val="32"/>
          <w:szCs w:val="32"/>
          <w:lang w:bidi="ar"/>
        </w:rPr>
        <w:t>4.票交所通知</w:t>
      </w:r>
      <w:r>
        <w:rPr>
          <w:rFonts w:ascii="仿宋" w:hAnsi="仿宋" w:eastAsia="仿宋" w:cs="仿宋"/>
          <w:bCs/>
          <w:sz w:val="32"/>
          <w:szCs w:val="32"/>
          <w:lang w:bidi="ar"/>
        </w:rPr>
        <w:t>持票人</w:t>
      </w:r>
      <w:r>
        <w:rPr>
          <w:rFonts w:hint="eastAsia" w:ascii="仿宋" w:hAnsi="仿宋" w:eastAsia="仿宋" w:cs="仿宋"/>
          <w:bCs/>
          <w:sz w:val="32"/>
          <w:szCs w:val="32"/>
          <w:lang w:bidi="ar"/>
        </w:rPr>
        <w:t>的参与者服务机构，由其通知持票人</w:t>
      </w:r>
      <w:r>
        <w:rPr>
          <w:rFonts w:ascii="仿宋" w:hAnsi="仿宋" w:eastAsia="仿宋" w:cs="仿宋"/>
          <w:bCs/>
          <w:sz w:val="32"/>
          <w:szCs w:val="32"/>
          <w:lang w:bidi="ar"/>
        </w:rPr>
        <w:t>。</w:t>
      </w:r>
    </w:p>
    <w:p>
      <w:pPr>
        <w:spacing w:line="590" w:lineRule="exact"/>
        <w:ind w:firstLine="640" w:firstLineChars="200"/>
        <w:rPr>
          <w:rFonts w:ascii="仿宋" w:hAnsi="仿宋" w:eastAsia="仿宋" w:cs="仿宋"/>
          <w:bCs/>
          <w:sz w:val="32"/>
          <w:szCs w:val="32"/>
          <w:lang w:bidi="ar"/>
        </w:rPr>
      </w:pPr>
    </w:p>
    <w:p>
      <w:pPr>
        <w:spacing w:line="590" w:lineRule="exact"/>
        <w:ind w:firstLine="643" w:firstLineChars="200"/>
        <w:outlineLvl w:val="2"/>
        <w:rPr>
          <w:rFonts w:ascii="仿宋" w:hAnsi="仿宋" w:eastAsia="仿宋" w:cs="楷体"/>
          <w:b/>
          <w:sz w:val="32"/>
          <w:szCs w:val="32"/>
        </w:rPr>
      </w:pPr>
      <w:bookmarkStart w:id="706" w:name="_Toc1181361684"/>
      <w:bookmarkStart w:id="707" w:name="_Toc27929"/>
      <w:bookmarkStart w:id="708" w:name="_Toc29597"/>
      <w:bookmarkStart w:id="709" w:name="_Toc28275"/>
      <w:bookmarkStart w:id="710" w:name="_Toc9648"/>
      <w:bookmarkStart w:id="711" w:name="_Toc5643"/>
      <w:bookmarkStart w:id="712" w:name="_Toc25115"/>
      <w:bookmarkStart w:id="713" w:name="_Toc10404"/>
      <w:bookmarkStart w:id="714" w:name="_Toc86"/>
      <w:bookmarkStart w:id="715" w:name="_Toc28360"/>
      <w:bookmarkStart w:id="716" w:name="_Toc21670"/>
      <w:bookmarkStart w:id="717" w:name="_Toc32513"/>
      <w:bookmarkStart w:id="718" w:name="_Toc8811"/>
      <w:bookmarkStart w:id="719" w:name="_Toc9006"/>
      <w:bookmarkStart w:id="720" w:name="_Toc18783"/>
      <w:bookmarkStart w:id="721" w:name="_Toc20103"/>
      <w:bookmarkStart w:id="722" w:name="_Toc12765"/>
      <w:r>
        <w:rPr>
          <w:rFonts w:hint="eastAsia" w:ascii="仿宋" w:hAnsi="仿宋" w:eastAsia="仿宋" w:cs="楷体"/>
          <w:b/>
          <w:sz w:val="32"/>
          <w:szCs w:val="32"/>
        </w:rPr>
        <w:t>2.11</w:t>
      </w:r>
      <w:r>
        <w:rPr>
          <w:rFonts w:ascii="仿宋" w:hAnsi="仿宋" w:eastAsia="仿宋" w:cs="楷体"/>
          <w:b/>
          <w:sz w:val="32"/>
          <w:szCs w:val="32"/>
        </w:rPr>
        <w:t>.2</w:t>
      </w:r>
      <w:r>
        <w:rPr>
          <w:rFonts w:hint="eastAsia" w:ascii="仿宋" w:hAnsi="仿宋" w:eastAsia="仿宋" w:cs="楷体"/>
          <w:b/>
          <w:sz w:val="32"/>
          <w:szCs w:val="32"/>
        </w:rPr>
        <w:t xml:space="preserve"> 解除冻结登记</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承兑人或其参与者服务机构在票据冻结到期或依据法律文书等有效证明文件对已办理冻结登记的票据解除冻结。</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办理解除冻结登记的票据，完成后即时生效，可以按照业务规则正常办理后续业务。</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登记人选择要解除冻结的票据，</w:t>
      </w:r>
      <w:r>
        <w:rPr>
          <w:rFonts w:ascii="仿宋" w:hAnsi="仿宋" w:eastAsia="仿宋" w:cs="仿宋"/>
          <w:bCs/>
          <w:color w:val="000000"/>
          <w:sz w:val="32"/>
          <w:szCs w:val="32"/>
          <w:lang w:bidi="ar"/>
        </w:rPr>
        <w:t>发</w:t>
      </w:r>
      <w:r>
        <w:rPr>
          <w:rFonts w:hint="eastAsia" w:ascii="仿宋" w:hAnsi="仿宋" w:eastAsia="仿宋" w:cs="仿宋"/>
          <w:bCs/>
          <w:color w:val="000000"/>
          <w:sz w:val="32"/>
          <w:szCs w:val="32"/>
          <w:lang w:bidi="ar"/>
        </w:rPr>
        <w:t>起解除冻结登记。需提供的要素信息包括：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（1）解除登记人要素信息；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（2）解除登记人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（4）业务申请日期、业务种类（“冻结（解除）登记”）、业务批次号、登记类型（“解除司法冻结”）、冻结解除日期（</w:t>
      </w:r>
      <w:r>
        <w:rPr>
          <w:rFonts w:hint="eastAsia" w:ascii="仿宋" w:hAnsi="仿宋" w:eastAsia="仿宋" w:cs="仿宋"/>
          <w:bCs/>
          <w:color w:val="000000"/>
          <w:sz w:val="32"/>
          <w:szCs w:val="32"/>
          <w:lang w:bidi="ar"/>
        </w:rPr>
        <w:t>有权机关法律文书要求解除冻结的日期，或原冻结法律文书记载的冻结到期日的下一日）</w:t>
      </w:r>
      <w:r>
        <w:rPr>
          <w:rFonts w:hint="eastAsia" w:ascii="仿宋" w:hAnsi="仿宋" w:eastAsia="仿宋" w:cs="仿宋"/>
          <w:sz w:val="32"/>
          <w:szCs w:val="32"/>
        </w:rPr>
        <w:t>；</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（6）附件类型、附件</w:t>
      </w:r>
      <w:r>
        <w:rPr>
          <w:rFonts w:hint="eastAsia" w:ascii="仿宋" w:hAnsi="仿宋" w:eastAsia="仿宋"/>
          <w:sz w:val="32"/>
          <w:szCs w:val="32"/>
        </w:rPr>
        <w:t>批次号等法律文书等有效证明文件的附件信息</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登记人的参与者服务机构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发送解除冻结登记信息。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票交所向登记人参与者服务机构反馈处理结果，由其提示登记人。</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color w:val="000000"/>
          <w:sz w:val="32"/>
          <w:szCs w:val="32"/>
          <w:lang w:bidi="ar"/>
        </w:rPr>
        <w:t>4.票交所通知</w:t>
      </w:r>
      <w:r>
        <w:rPr>
          <w:rFonts w:ascii="仿宋" w:hAnsi="仿宋" w:eastAsia="仿宋" w:cs="仿宋"/>
          <w:bCs/>
          <w:sz w:val="32"/>
          <w:szCs w:val="32"/>
          <w:lang w:bidi="ar"/>
        </w:rPr>
        <w:t>持票人</w:t>
      </w:r>
      <w:r>
        <w:rPr>
          <w:rFonts w:hint="eastAsia" w:ascii="仿宋" w:hAnsi="仿宋" w:eastAsia="仿宋" w:cs="仿宋"/>
          <w:bCs/>
          <w:sz w:val="32"/>
          <w:szCs w:val="32"/>
          <w:lang w:bidi="ar"/>
        </w:rPr>
        <w:t>的参与者服务机构</w:t>
      </w:r>
      <w:r>
        <w:rPr>
          <w:rFonts w:hint="eastAsia" w:ascii="仿宋" w:hAnsi="仿宋" w:eastAsia="仿宋" w:cs="仿宋"/>
          <w:bCs/>
          <w:color w:val="000000"/>
          <w:sz w:val="32"/>
          <w:szCs w:val="32"/>
          <w:lang w:bidi="ar"/>
        </w:rPr>
        <w:t>，由其通知持票人</w:t>
      </w:r>
      <w:r>
        <w:rPr>
          <w:rFonts w:ascii="仿宋" w:hAnsi="仿宋" w:eastAsia="仿宋" w:cs="仿宋"/>
          <w:bCs/>
          <w:sz w:val="32"/>
          <w:szCs w:val="32"/>
          <w:lang w:bidi="ar"/>
        </w:rPr>
        <w:t>。</w:t>
      </w:r>
    </w:p>
    <w:p>
      <w:pPr>
        <w:spacing w:line="590" w:lineRule="exact"/>
        <w:ind w:firstLine="640" w:firstLineChars="200"/>
        <w:rPr>
          <w:rFonts w:ascii="仿宋" w:hAnsi="仿宋" w:eastAsia="仿宋" w:cs="仿宋"/>
          <w:sz w:val="32"/>
          <w:szCs w:val="32"/>
        </w:rPr>
      </w:pPr>
    </w:p>
    <w:p>
      <w:pPr>
        <w:spacing w:line="590" w:lineRule="exact"/>
        <w:ind w:firstLine="615" w:firstLineChars="200"/>
        <w:outlineLvl w:val="1"/>
        <w:rPr>
          <w:rFonts w:ascii="仿宋" w:hAnsi="仿宋" w:eastAsia="仿宋" w:cs="仿宋"/>
          <w:b/>
          <w:color w:val="000000" w:themeColor="text1"/>
          <w:spacing w:val="-7"/>
          <w:sz w:val="32"/>
          <w14:textFill>
            <w14:solidFill>
              <w14:schemeClr w14:val="tx1"/>
            </w14:solidFill>
          </w14:textFill>
        </w:rPr>
      </w:pPr>
      <w:bookmarkStart w:id="723" w:name="_Toc17308"/>
      <w:bookmarkStart w:id="724" w:name="_Toc14737"/>
      <w:bookmarkStart w:id="725" w:name="_Toc2501"/>
      <w:bookmarkStart w:id="726" w:name="_Toc2164"/>
      <w:bookmarkStart w:id="727" w:name="_Toc892"/>
      <w:bookmarkStart w:id="728" w:name="_Toc15729"/>
      <w:bookmarkStart w:id="729" w:name="_Toc16809"/>
      <w:bookmarkStart w:id="730" w:name="_Toc6157"/>
      <w:bookmarkStart w:id="731" w:name="_Toc12219"/>
      <w:bookmarkStart w:id="732" w:name="_Toc3235"/>
      <w:bookmarkStart w:id="733" w:name="_Toc8742"/>
      <w:bookmarkStart w:id="734" w:name="_Toc250"/>
      <w:bookmarkStart w:id="735" w:name="_Toc23258"/>
      <w:bookmarkStart w:id="736" w:name="_Toc141231433"/>
      <w:bookmarkStart w:id="737" w:name="_Toc27555"/>
      <w:bookmarkStart w:id="738" w:name="_Toc26923"/>
      <w:bookmarkStart w:id="739" w:name="_Toc24056"/>
      <w:r>
        <w:rPr>
          <w:rFonts w:hint="eastAsia" w:ascii="仿宋" w:hAnsi="仿宋" w:eastAsia="仿宋" w:cs="仿宋"/>
          <w:b/>
          <w:color w:val="000000" w:themeColor="text1"/>
          <w:spacing w:val="-7"/>
          <w:sz w:val="32"/>
          <w14:textFill>
            <w14:solidFill>
              <w14:schemeClr w14:val="tx1"/>
            </w14:solidFill>
          </w14:textFill>
        </w:rPr>
        <w:t>2.12 交易关系信息登记</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[业务概述]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票据当事人或其参与者服务机构可在票交所登记出票或转让背书业务行为的交易关系信息。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[业务规则]</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1.登记申请中的</w:t>
      </w:r>
      <w:r>
        <w:rPr>
          <w:rFonts w:hint="eastAsia" w:ascii="仿宋" w:hAnsi="仿宋" w:eastAsia="仿宋" w:cs="仿宋"/>
          <w:sz w:val="32"/>
          <w:szCs w:val="32"/>
        </w:rPr>
        <w:t>票据（包）号码、子票区间、票据（包）金额</w:t>
      </w:r>
      <w:r>
        <w:rPr>
          <w:rFonts w:hint="eastAsia" w:ascii="仿宋" w:hAnsi="仿宋" w:eastAsia="仿宋" w:cs="仿宋"/>
          <w:color w:val="000000" w:themeColor="text1"/>
          <w:spacing w:val="-7"/>
          <w:sz w:val="32"/>
          <w14:textFill>
            <w14:solidFill>
              <w14:schemeClr w14:val="tx1"/>
            </w14:solidFill>
          </w14:textFill>
        </w:rPr>
        <w:t>，与关联的出票信息登记或转让背书业务行为的票据信息必须一致。</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2.交易关系中合同或订单的总金额可以大于或等于票据包金额。</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3.票据出票时，交易关系信息的登记人可以为出票人、承兑人或收款人；票据贴现时，交易关系信息的登记人可以为贴现申请人或其</w:t>
      </w:r>
      <w:r>
        <w:rPr>
          <w:rFonts w:hint="eastAsia" w:ascii="仿宋" w:hAnsi="仿宋" w:eastAsia="仿宋" w:cs="仿宋"/>
          <w:color w:val="000000" w:themeColor="text1"/>
          <w:spacing w:val="-7"/>
          <w:sz w:val="32"/>
          <w:lang w:eastAsia="zh-CN"/>
          <w14:textFill>
            <w14:solidFill>
              <w14:schemeClr w14:val="tx1"/>
            </w14:solidFill>
          </w14:textFill>
        </w:rPr>
        <w:t>直接</w:t>
      </w:r>
      <w:r>
        <w:rPr>
          <w:rFonts w:hint="eastAsia" w:ascii="仿宋" w:hAnsi="仿宋" w:eastAsia="仿宋" w:cs="仿宋"/>
          <w:color w:val="000000" w:themeColor="text1"/>
          <w:spacing w:val="-7"/>
          <w:sz w:val="32"/>
          <w14:textFill>
            <w14:solidFill>
              <w14:schemeClr w14:val="tx1"/>
            </w14:solidFill>
          </w14:textFill>
        </w:rPr>
        <w:t>前手。</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4.登记申请中交易关系的买方，为出票信息登记的出票人或票据贴现的贴现申请人</w:t>
      </w:r>
      <w:r>
        <w:rPr>
          <w:rFonts w:hint="eastAsia" w:ascii="仿宋" w:hAnsi="仿宋" w:eastAsia="仿宋" w:cs="仿宋"/>
          <w:color w:val="000000" w:themeColor="text1"/>
          <w:spacing w:val="-7"/>
          <w:sz w:val="32"/>
          <w:lang w:eastAsia="zh-CN"/>
          <w14:textFill>
            <w14:solidFill>
              <w14:schemeClr w14:val="tx1"/>
            </w14:solidFill>
          </w14:textFill>
        </w:rPr>
        <w:t>直接</w:t>
      </w:r>
      <w:r>
        <w:rPr>
          <w:rFonts w:hint="eastAsia" w:ascii="仿宋" w:hAnsi="仿宋" w:eastAsia="仿宋" w:cs="仿宋"/>
          <w:color w:val="000000" w:themeColor="text1"/>
          <w:spacing w:val="-7"/>
          <w:sz w:val="32"/>
          <w14:textFill>
            <w14:solidFill>
              <w14:schemeClr w14:val="tx1"/>
            </w14:solidFill>
          </w14:textFill>
        </w:rPr>
        <w:t>前手。</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5.登记申请中交易关系的卖方，为出票信息登记的收款人或票据贴现的贴现申请人。</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6.供应链票据登记人应确保供应链信息与票据信息相匹配。</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7.同一票据（包）号的同一出票或背书行为，其交易关系信息可以登记合同、发票和其它凭证信息三类跟单信息中的至少一类。</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8.票交所记录发票号码、发票代码在票交所的登记次数。</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[业务流程]</w:t>
      </w:r>
    </w:p>
    <w:p>
      <w:pPr>
        <w:widowControl w:val="0"/>
        <w:numPr>
          <w:ilvl w:val="255"/>
          <w:numId w:val="0"/>
        </w:numPr>
        <w:spacing w:line="590" w:lineRule="exact"/>
        <w:ind w:firstLine="612" w:firstLineChars="200"/>
        <w:rPr>
          <w:rFonts w:ascii="仿宋" w:hAnsi="仿宋" w:eastAsia="仿宋" w:cs="仿宋"/>
          <w:sz w:val="32"/>
          <w:szCs w:val="32"/>
        </w:rPr>
      </w:pPr>
      <w:r>
        <w:rPr>
          <w:rFonts w:hint="eastAsia" w:ascii="仿宋" w:hAnsi="仿宋" w:eastAsia="仿宋" w:cs="仿宋"/>
          <w:color w:val="000000" w:themeColor="text1"/>
          <w:spacing w:val="-7"/>
          <w:sz w:val="32"/>
          <w14:textFill>
            <w14:solidFill>
              <w14:schemeClr w14:val="tx1"/>
            </w14:solidFill>
          </w14:textFill>
        </w:rPr>
        <w:t>1.承兑人、出票人、收款人、贴现申请人及其前手，可自行发起或通过参与者服务机构向票交所发起票据的交易关系信息登记申请。</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（1）登记人要素信息；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（2）登记人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（3）票据（包）号码、子票区间、票据（包）金额、标准金额、票据行为（“出票”、“背书”）、票据行为流水号；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（4）登记日期、登记类型（“新增”、“修改”、“删除”、“补充”）、交易总金额、交易方式（“货物贸易”、“服务贸易”、“货服贸易”、“其他”）；</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（5）交易关系中的买方要素信息；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（6）交易关系中的卖方要素信息；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（7）合同类型（“合同”、“订单”）、合同交易方式（“货物贸易”、“服务贸易”、“货服贸易”、“其他”）、合同编号、发生日期、合同金额、合同附件编号；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（8）发票号码、发票代码、发票含税金额、开票日期、发票种类（“增值税专用发票”、“增值税普通发票”）、发票附件编号；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（9）其他凭证编号、其他凭证用途、其他凭证附件编号；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（10）供应链信息与票据信息是否匹配；</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（11）备注。</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w:t>
      </w:r>
      <w:r>
        <w:rPr>
          <w:rFonts w:hint="eastAsia" w:ascii="仿宋" w:hAnsi="仿宋" w:eastAsia="仿宋" w:cs="仿宋"/>
          <w:sz w:val="32"/>
          <w:szCs w:val="32"/>
        </w:rPr>
        <w:t>票交所接收申请信息并校验，如果登记信息判断无误，则登记成功；如果登记信息判断有误，则登记失败，票交所反馈错误原因</w:t>
      </w:r>
      <w:r>
        <w:rPr>
          <w:rFonts w:hint="eastAsia" w:ascii="仿宋" w:hAnsi="仿宋" w:eastAsia="仿宋" w:cs="仿宋"/>
          <w:color w:val="000000" w:themeColor="text1"/>
          <w:spacing w:val="-7"/>
          <w:sz w:val="32"/>
          <w14:textFill>
            <w14:solidFill>
              <w14:schemeClr w14:val="tx1"/>
            </w14:solidFill>
          </w14:textFill>
        </w:rPr>
        <w:t>。</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br w:type="page"/>
      </w:r>
    </w:p>
    <w:p>
      <w:pPr>
        <w:spacing w:line="590" w:lineRule="exact"/>
        <w:jc w:val="center"/>
        <w:outlineLvl w:val="0"/>
        <w:rPr>
          <w:rFonts w:ascii="仿宋" w:hAnsi="仿宋" w:eastAsia="仿宋" w:cs="仿宋"/>
          <w:b/>
          <w:bCs/>
          <w:kern w:val="44"/>
          <w:sz w:val="40"/>
          <w:szCs w:val="40"/>
        </w:rPr>
      </w:pPr>
      <w:bookmarkStart w:id="740" w:name="_Toc1624"/>
      <w:bookmarkStart w:id="741" w:name="_Toc20796"/>
      <w:bookmarkStart w:id="742" w:name="_Toc7569"/>
      <w:bookmarkStart w:id="743" w:name="_Toc27393"/>
      <w:bookmarkStart w:id="744" w:name="_Toc25364"/>
      <w:bookmarkStart w:id="745" w:name="_Toc28903"/>
      <w:bookmarkStart w:id="746" w:name="_Toc13654"/>
      <w:bookmarkStart w:id="747" w:name="_Toc31428"/>
      <w:bookmarkStart w:id="748" w:name="_Toc9543"/>
      <w:bookmarkStart w:id="749" w:name="_Toc6024"/>
      <w:bookmarkStart w:id="750" w:name="_Toc19535"/>
      <w:bookmarkStart w:id="751" w:name="_Toc391592388"/>
      <w:bookmarkStart w:id="752" w:name="_Toc22501"/>
      <w:bookmarkStart w:id="753" w:name="_Toc5033"/>
      <w:bookmarkStart w:id="754" w:name="_Toc4341"/>
      <w:bookmarkStart w:id="755" w:name="_Toc21063"/>
      <w:r>
        <w:rPr>
          <w:rFonts w:hint="eastAsia" w:ascii="仿宋" w:hAnsi="仿宋" w:eastAsia="仿宋" w:cs="仿宋"/>
          <w:b/>
          <w:bCs/>
          <w:kern w:val="44"/>
          <w:sz w:val="40"/>
          <w:szCs w:val="40"/>
        </w:rPr>
        <w:t>第三章 “</w:t>
      </w:r>
      <w:bookmarkEnd w:id="740"/>
      <w:bookmarkEnd w:id="741"/>
      <w:bookmarkEnd w:id="742"/>
      <w:bookmarkEnd w:id="743"/>
      <w:bookmarkEnd w:id="744"/>
      <w:bookmarkEnd w:id="745"/>
      <w:bookmarkEnd w:id="746"/>
      <w:bookmarkEnd w:id="747"/>
      <w:bookmarkEnd w:id="748"/>
      <w:bookmarkEnd w:id="749"/>
      <w:r>
        <w:rPr>
          <w:rFonts w:hint="eastAsia" w:ascii="仿宋" w:hAnsi="仿宋" w:eastAsia="仿宋" w:cs="仿宋"/>
          <w:b/>
          <w:bCs/>
          <w:kern w:val="44"/>
          <w:sz w:val="40"/>
          <w:szCs w:val="40"/>
        </w:rPr>
        <w:t>票付通</w:t>
      </w:r>
      <w:bookmarkEnd w:id="750"/>
      <w:r>
        <w:rPr>
          <w:rFonts w:hint="eastAsia" w:ascii="仿宋" w:hAnsi="仿宋" w:eastAsia="仿宋" w:cs="仿宋"/>
          <w:b/>
          <w:bCs/>
          <w:kern w:val="44"/>
          <w:sz w:val="40"/>
          <w:szCs w:val="40"/>
        </w:rPr>
        <w:t>”业务</w:t>
      </w:r>
      <w:bookmarkEnd w:id="751"/>
      <w:bookmarkEnd w:id="752"/>
      <w:bookmarkEnd w:id="753"/>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1"/>
        <w:rPr>
          <w:rFonts w:ascii="仿宋" w:hAnsi="仿宋" w:eastAsia="仿宋" w:cs="仿宋"/>
          <w:b/>
          <w:bCs/>
          <w:sz w:val="32"/>
          <w:szCs w:val="32"/>
        </w:rPr>
      </w:pPr>
      <w:bookmarkStart w:id="756" w:name="_Toc25611"/>
      <w:bookmarkStart w:id="757" w:name="_Toc11125"/>
      <w:bookmarkStart w:id="758" w:name="_Toc32563"/>
      <w:bookmarkStart w:id="759" w:name="_Toc4483"/>
      <w:bookmarkStart w:id="760" w:name="_Toc2575"/>
      <w:bookmarkStart w:id="761" w:name="_Toc24448"/>
      <w:bookmarkStart w:id="762" w:name="_Toc2004"/>
      <w:bookmarkStart w:id="763" w:name="_Toc13923"/>
      <w:bookmarkStart w:id="764" w:name="_Toc869"/>
      <w:bookmarkStart w:id="765" w:name="_Toc25065"/>
      <w:bookmarkStart w:id="766" w:name="_Toc16819"/>
      <w:bookmarkStart w:id="767" w:name="_Toc1300165659"/>
      <w:bookmarkStart w:id="768" w:name="_Toc10610"/>
      <w:bookmarkStart w:id="769" w:name="_Toc28537"/>
      <w:r>
        <w:rPr>
          <w:rFonts w:hint="eastAsia" w:ascii="仿宋" w:hAnsi="仿宋" w:eastAsia="仿宋" w:cs="仿宋"/>
          <w:b/>
          <w:bCs/>
          <w:sz w:val="32"/>
          <w:szCs w:val="32"/>
        </w:rPr>
        <w:t xml:space="preserve">3.1 </w:t>
      </w:r>
      <w:bookmarkEnd w:id="756"/>
      <w:bookmarkEnd w:id="757"/>
      <w:bookmarkEnd w:id="758"/>
      <w:bookmarkEnd w:id="759"/>
      <w:bookmarkEnd w:id="760"/>
      <w:bookmarkEnd w:id="761"/>
      <w:bookmarkEnd w:id="762"/>
      <w:bookmarkEnd w:id="763"/>
      <w:bookmarkEnd w:id="764"/>
      <w:bookmarkEnd w:id="765"/>
      <w:r>
        <w:rPr>
          <w:rFonts w:hint="eastAsia" w:ascii="仿宋" w:hAnsi="仿宋" w:eastAsia="仿宋" w:cs="仿宋"/>
          <w:b/>
          <w:bCs/>
          <w:sz w:val="32"/>
          <w:szCs w:val="32"/>
        </w:rPr>
        <w:t>概述</w:t>
      </w:r>
      <w:bookmarkEnd w:id="766"/>
      <w:bookmarkEnd w:id="767"/>
      <w:bookmarkEnd w:id="768"/>
      <w:bookmarkEnd w:id="769"/>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w:t>
      </w:r>
      <w:r>
        <w:rPr>
          <w:rFonts w:hint="eastAsia" w:ascii="仿宋" w:hAnsi="仿宋" w:eastAsia="仿宋" w:cs="仿宋"/>
          <w:sz w:val="32"/>
          <w:szCs w:val="32"/>
          <w:lang w:bidi="ar"/>
        </w:rPr>
        <w:t>票付通”是票交所携手合作机构、电票开户行和B2B平台为企业提供的线上票据支付工具。买、卖双方在B2B平台约定以电子商业汇票作为线上贸易订单的支付方式，买方通过合作机构发起线上票据支付指令，由合作机构、电票开户行通过票交所提供的服务完成票据线上签发、锁定、解锁、提票、签收等行为。“票付通”主要提供企业签约/解约、线上票据支付、线上票据支付流水更新以及交易信息上传等功能。</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1"/>
        <w:rPr>
          <w:rFonts w:ascii="仿宋" w:hAnsi="仿宋" w:eastAsia="仿宋" w:cs="仿宋"/>
          <w:b/>
          <w:bCs/>
          <w:sz w:val="32"/>
          <w:szCs w:val="32"/>
          <w:lang w:bidi="ar"/>
        </w:rPr>
      </w:pPr>
      <w:bookmarkStart w:id="770" w:name="_Toc12240"/>
      <w:bookmarkStart w:id="771" w:name="_Toc32044"/>
      <w:bookmarkStart w:id="772" w:name="_Toc1526"/>
      <w:bookmarkStart w:id="773" w:name="_Toc625"/>
      <w:bookmarkStart w:id="774" w:name="_Toc35815194"/>
      <w:bookmarkStart w:id="775" w:name="_Toc20466"/>
      <w:bookmarkStart w:id="776" w:name="_Toc19976"/>
      <w:bookmarkStart w:id="777" w:name="_Toc27631"/>
      <w:bookmarkStart w:id="778" w:name="_Toc24164"/>
      <w:bookmarkStart w:id="779" w:name="_Toc19952"/>
      <w:bookmarkStart w:id="780" w:name="_Toc16402"/>
      <w:bookmarkStart w:id="781" w:name="_Toc29135"/>
      <w:bookmarkStart w:id="782" w:name="_Toc1656"/>
      <w:bookmarkStart w:id="783" w:name="_Toc27140"/>
      <w:r>
        <w:rPr>
          <w:rFonts w:hint="eastAsia" w:ascii="仿宋" w:hAnsi="仿宋" w:eastAsia="仿宋" w:cs="仿宋"/>
          <w:b/>
          <w:bCs/>
          <w:sz w:val="32"/>
          <w:szCs w:val="32"/>
          <w:lang w:bidi="ar"/>
        </w:rPr>
        <w:t>3.2 企业签约/解约</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spacing w:line="590" w:lineRule="exact"/>
        <w:ind w:firstLine="640" w:firstLineChars="200"/>
        <w:rPr>
          <w:rFonts w:hint="eastAsia" w:ascii="仿宋" w:hAnsi="仿宋" w:eastAsia="仿宋" w:cs="仿宋"/>
          <w:sz w:val="32"/>
          <w:szCs w:val="32"/>
          <w:lang w:val="en-US" w:eastAsia="zh-CN" w:bidi="ar"/>
        </w:rPr>
      </w:pPr>
      <w:r>
        <w:rPr>
          <w:rFonts w:hint="eastAsia" w:ascii="仿宋" w:hAnsi="仿宋" w:eastAsia="仿宋" w:cs="仿宋"/>
          <w:sz w:val="32"/>
          <w:szCs w:val="32"/>
          <w:lang w:bidi="ar"/>
        </w:rPr>
        <w:t>平台企业开展“票付通”业务之前，需要完成“票付通”签约登记；平台企业退出B2B平台时，需要完成“票付通”解约登记，票交所提供两方和三方签约、解约信息登记功能。</w:t>
      </w:r>
      <w:r>
        <w:rPr>
          <w:rFonts w:hint="eastAsia" w:ascii="仿宋" w:hAnsi="仿宋" w:eastAsia="仿宋" w:cs="仿宋"/>
          <w:sz w:val="32"/>
          <w:szCs w:val="32"/>
          <w:lang w:val="en-US" w:eastAsia="zh-CN" w:bidi="ar"/>
        </w:rPr>
        <w:t>平台企业可以按需要在B2B平台选择发起两方或三方签约/解约信息登记。</w:t>
      </w:r>
    </w:p>
    <w:p>
      <w:pPr>
        <w:spacing w:line="590" w:lineRule="exact"/>
        <w:ind w:firstLine="640" w:firstLineChars="200"/>
        <w:rPr>
          <w:rStyle w:val="24"/>
        </w:rPr>
      </w:pPr>
      <w:r>
        <w:rPr>
          <w:rFonts w:hint="eastAsia" w:ascii="仿宋" w:hAnsi="仿宋" w:eastAsia="仿宋" w:cs="仿宋"/>
          <w:sz w:val="32"/>
          <w:szCs w:val="32"/>
          <w:lang w:bidi="ar"/>
        </w:rPr>
        <w:t>两方签约信息登记指平台企业与B2B平台将双方签约“票付通”的相关信息登记至票交所；三方签约信息登记指平台企业、B2B平台、电票开户行将三方签约“票付通”的信息登记至票交所。</w:t>
      </w:r>
    </w:p>
    <w:p>
      <w:pPr>
        <w:spacing w:line="590" w:lineRule="exact"/>
        <w:ind w:firstLine="420" w:firstLineChars="200"/>
        <w:rPr>
          <w:rStyle w:val="24"/>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784" w:name="_Toc20937"/>
      <w:bookmarkStart w:id="785" w:name="_Toc858006998"/>
      <w:bookmarkStart w:id="786" w:name="_Toc3552"/>
      <w:bookmarkStart w:id="787" w:name="_Toc9535"/>
      <w:r>
        <w:rPr>
          <w:rFonts w:hint="eastAsia" w:ascii="仿宋" w:hAnsi="仿宋" w:eastAsia="仿宋" w:cs="仿宋"/>
          <w:b/>
          <w:bCs/>
          <w:sz w:val="32"/>
          <w:szCs w:val="32"/>
          <w:lang w:bidi="ar"/>
        </w:rPr>
        <w:t>3.2.1 两方签约/解约</w:t>
      </w:r>
      <w:bookmarkEnd w:id="784"/>
      <w:bookmarkEnd w:id="785"/>
      <w:bookmarkEnd w:id="786"/>
      <w:bookmarkEnd w:id="787"/>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平台企业与B2B平台签约/解约“票付通”业务，向票交所申请签约/解约信息登记。</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numPr>
          <w:ilvl w:val="0"/>
          <w:numId w:val="15"/>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平台企业通过参与者服务机构在票交所完成企业信息备案登记可以办理“票付通”签约信息登记，登记信息包括但不限于企业名称、统一社会信用代码、电票账号、电票开户行等。</w:t>
      </w:r>
    </w:p>
    <w:p>
      <w:pPr>
        <w:numPr>
          <w:ilvl w:val="0"/>
          <w:numId w:val="15"/>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平台企业存在未完成的支付流水，不允许发起解约申请。B2B平台可以根据企业需要批量发起签约和解约申请。</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1.申请发起（B2B平台）：平台企业通过B2B平台发起两方签约/解约申请。</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2.申请转发（合作机构）：合作机构将平台企业签约或解约申请发送至票交所，票交所将处理结果通知合作机构。</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788" w:name="_Toc29471"/>
      <w:bookmarkStart w:id="789" w:name="_Toc10327"/>
      <w:bookmarkStart w:id="790" w:name="_Toc302882967"/>
      <w:bookmarkStart w:id="791" w:name="_Toc728"/>
      <w:r>
        <w:rPr>
          <w:rFonts w:hint="eastAsia" w:ascii="仿宋" w:hAnsi="仿宋" w:eastAsia="仿宋" w:cs="仿宋"/>
          <w:b/>
          <w:bCs/>
          <w:sz w:val="32"/>
          <w:szCs w:val="32"/>
          <w:lang w:bidi="ar"/>
        </w:rPr>
        <w:t>3.2.2 三方签约/解约</w:t>
      </w:r>
      <w:bookmarkEnd w:id="788"/>
      <w:bookmarkEnd w:id="789"/>
      <w:bookmarkEnd w:id="790"/>
      <w:bookmarkEnd w:id="791"/>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平台企业与B2B平台和电票开户行签约/解约“票付通”业务，向票交所申请签约/解约信息绑定。</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1至2条同两方签约业务规则。</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3.企业电票开户行收到三方签约、解约信息绑定信息后，须提醒企业及时确认。企业在</w:t>
      </w:r>
      <w:r>
        <w:rPr>
          <w:rFonts w:hint="eastAsia" w:ascii="仿宋" w:hAnsi="仿宋" w:eastAsia="仿宋" w:cs="仿宋"/>
          <w:sz w:val="32"/>
          <w:szCs w:val="32"/>
          <w:lang w:val="en-US" w:eastAsia="zh-CN" w:bidi="ar"/>
        </w:rPr>
        <w:t>7个自然日</w:t>
      </w:r>
      <w:r>
        <w:rPr>
          <w:rFonts w:hint="eastAsia" w:ascii="仿宋" w:hAnsi="仿宋" w:eastAsia="仿宋" w:cs="仿宋"/>
          <w:sz w:val="32"/>
          <w:szCs w:val="32"/>
          <w:lang w:bidi="ar"/>
        </w:rPr>
        <w:t>内未应答确认的，票交所对申请指令对清退处理。</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4.B2B平台要求平台企业电票开户行对企业身份进行验证的，可以发起三方签约申请。</w:t>
      </w:r>
    </w:p>
    <w:p>
      <w:pPr>
        <w:spacing w:line="590" w:lineRule="exact"/>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bidi="ar"/>
        </w:rPr>
        <w:t>5.平台企业、B2B平台以及电票开户行完成三方签约信息登记的，电票开户行可以根据平台企业发起的订单支付申请，代理企业签章办理收票和背书业务（详见本章3.3.2节、3.3.4 节）</w:t>
      </w:r>
      <w:r>
        <w:rPr>
          <w:rFonts w:hint="eastAsia" w:ascii="仿宋" w:hAnsi="仿宋" w:eastAsia="仿宋" w:cs="仿宋"/>
          <w:sz w:val="32"/>
          <w:szCs w:val="32"/>
          <w:lang w:eastAsia="zh-CN" w:bidi="ar"/>
        </w:rPr>
        <w:t>。</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1.申请发起（B2B平台）：平台企业通过B2B平台发起三方签约/解约申请。</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2.申请转发（合作机构）：合作机构将平台企业申请发送至票交所，票交所将申请转发至平台企业电票开户行。</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3.申请确认（电票开户行（全市场））：平台企业登陆电票开户行网银进行签约/解约确认。</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4.结果处理（合作机构）：票交所将平台企业应答结果通知合作机构，合作机构将结果转发至B2B平台。</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1"/>
        <w:rPr>
          <w:rFonts w:ascii="仿宋" w:hAnsi="仿宋" w:eastAsia="仿宋" w:cs="仿宋"/>
          <w:b/>
          <w:bCs/>
          <w:sz w:val="32"/>
          <w:szCs w:val="32"/>
          <w:lang w:bidi="ar"/>
        </w:rPr>
      </w:pPr>
      <w:bookmarkStart w:id="792" w:name="_Toc19126"/>
      <w:bookmarkStart w:id="793" w:name="_Toc4443"/>
      <w:bookmarkStart w:id="794" w:name="_Toc32488"/>
      <w:bookmarkStart w:id="795" w:name="_Toc28535"/>
      <w:bookmarkStart w:id="796" w:name="_Toc876712622"/>
      <w:bookmarkStart w:id="797" w:name="_Toc30249"/>
      <w:bookmarkStart w:id="798" w:name="_Toc5476"/>
      <w:bookmarkStart w:id="799" w:name="_Toc17201"/>
      <w:bookmarkStart w:id="800" w:name="_Toc28412"/>
      <w:bookmarkStart w:id="801" w:name="_Toc28994"/>
      <w:bookmarkStart w:id="802" w:name="_Toc21757"/>
      <w:bookmarkStart w:id="803" w:name="_Toc5966"/>
      <w:bookmarkStart w:id="804" w:name="_Toc6036"/>
      <w:bookmarkStart w:id="805" w:name="_Toc19654"/>
      <w:r>
        <w:rPr>
          <w:rFonts w:hint="eastAsia" w:ascii="仿宋" w:hAnsi="仿宋" w:eastAsia="仿宋" w:cs="仿宋"/>
          <w:b/>
          <w:bCs/>
          <w:sz w:val="32"/>
          <w:szCs w:val="32"/>
          <w:lang w:bidi="ar"/>
        </w:rPr>
        <w:t>3.3 线上票据支付</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买、卖双方通过B2B平台建立订单信息后，买方选择</w:t>
      </w:r>
      <w:r>
        <w:rPr>
          <w:rFonts w:hint="eastAsia" w:ascii="仿宋" w:hAnsi="仿宋" w:eastAsia="仿宋" w:cs="仿宋"/>
          <w:sz w:val="32"/>
          <w:szCs w:val="32"/>
          <w:lang w:eastAsia="zh-CN" w:bidi="ar"/>
        </w:rPr>
        <w:t>新</w:t>
      </w:r>
      <w:r>
        <w:rPr>
          <w:rFonts w:hint="eastAsia" w:ascii="仿宋" w:hAnsi="仿宋" w:eastAsia="仿宋" w:cs="仿宋"/>
          <w:sz w:val="32"/>
          <w:szCs w:val="32"/>
          <w:lang w:bidi="ar"/>
        </w:rPr>
        <w:t>签发</w:t>
      </w:r>
      <w:r>
        <w:rPr>
          <w:rFonts w:hint="eastAsia" w:ascii="仿宋" w:hAnsi="仿宋" w:eastAsia="仿宋" w:cs="仿宋"/>
          <w:sz w:val="32"/>
          <w:szCs w:val="32"/>
          <w:lang w:eastAsia="zh-CN" w:bidi="ar"/>
        </w:rPr>
        <w:t>电票</w:t>
      </w:r>
      <w:r>
        <w:rPr>
          <w:rFonts w:hint="eastAsia" w:ascii="仿宋" w:hAnsi="仿宋" w:eastAsia="仿宋" w:cs="仿宋"/>
          <w:sz w:val="32"/>
          <w:szCs w:val="32"/>
          <w:lang w:bidi="ar"/>
        </w:rPr>
        <w:t>或背书所持有电票支付订单。线上票据支付功能支持平台企业使用见证支付、即时支付等方式发起支付。</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806" w:name="_Toc523641984"/>
      <w:bookmarkStart w:id="807" w:name="_Toc1159"/>
      <w:bookmarkStart w:id="808" w:name="_Toc25874"/>
      <w:bookmarkStart w:id="809" w:name="_Toc9352"/>
      <w:r>
        <w:rPr>
          <w:rFonts w:hint="eastAsia" w:ascii="仿宋" w:hAnsi="仿宋" w:eastAsia="仿宋" w:cs="仿宋"/>
          <w:b/>
          <w:bCs/>
          <w:sz w:val="32"/>
          <w:szCs w:val="32"/>
          <w:lang w:bidi="ar"/>
        </w:rPr>
        <w:t>3.3.1 支付申请</w:t>
      </w:r>
      <w:bookmarkEnd w:id="806"/>
      <w:bookmarkEnd w:id="807"/>
      <w:bookmarkEnd w:id="808"/>
      <w:bookmarkEnd w:id="809"/>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买、卖双方在B2B平台达成交易，向票交所发起线上票据支付申请，建立待支付订单记录。</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1.待支付订单的买、卖双方以及对应的电票账号必须已完成“票付通”签约登记。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2.平台企业发起支付申请中的电票账号与资金账号的开户机构必须已加入票交所。</w:t>
      </w:r>
    </w:p>
    <w:p>
      <w:pPr>
        <w:spacing w:line="590" w:lineRule="exact"/>
        <w:ind w:firstLine="640" w:firstLineChars="200"/>
        <w:rPr>
          <w:rFonts w:ascii="仿宋" w:hAnsi="仿宋" w:eastAsia="仿宋" w:cs="仿宋"/>
          <w:b/>
          <w:bCs/>
          <w:sz w:val="32"/>
          <w:szCs w:val="32"/>
          <w:lang w:bidi="ar"/>
        </w:rPr>
      </w:pPr>
      <w:r>
        <w:rPr>
          <w:rFonts w:hint="eastAsia" w:ascii="仿宋" w:hAnsi="仿宋" w:eastAsia="仿宋" w:cs="仿宋"/>
          <w:sz w:val="32"/>
          <w:szCs w:val="32"/>
          <w:lang w:bidi="ar"/>
        </w:rPr>
        <w:t>3.同一笔订单编号下可以发起多笔支付申请，满足企业分批付款等支付需求。</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1.支付申请发起（B2B平台）：买、卖双方在B2B平台达成交易，向票交所发起订单支付申请。待支付的订单信息包含订单详细信息，买方和卖方电票账户信息等。</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2.支付申请转发（合作机构）：合作机构将支付申请发送至票交所，票交所将处理后的结果通知合作机构。订单建立成功的，企业可以在订单项下选择待支付的票据或新签发票据。</w:t>
      </w:r>
    </w:p>
    <w:p>
      <w:pPr>
        <w:numPr>
          <w:ilvl w:val="255"/>
          <w:numId w:val="0"/>
        </w:num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810" w:name="_Toc17583"/>
      <w:bookmarkStart w:id="811" w:name="_Toc3892"/>
      <w:bookmarkStart w:id="812" w:name="_Toc9097"/>
      <w:bookmarkStart w:id="813" w:name="_Toc1771037468"/>
      <w:r>
        <w:rPr>
          <w:rFonts w:hint="eastAsia" w:ascii="仿宋" w:hAnsi="仿宋" w:eastAsia="仿宋" w:cs="仿宋"/>
          <w:b/>
          <w:bCs/>
          <w:sz w:val="32"/>
          <w:szCs w:val="32"/>
          <w:lang w:bidi="ar"/>
        </w:rPr>
        <w:t>3.3.2 票据锁定</w:t>
      </w:r>
      <w:bookmarkEnd w:id="810"/>
      <w:bookmarkEnd w:id="811"/>
      <w:bookmarkEnd w:id="812"/>
      <w:bookmarkEnd w:id="813"/>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“票付通”支持企业通过“票付通”收银台或者电票开户行网银发起票据锁定申请，B2B平台发起的锁票申请应当与平台企业在B2B平台中的订单处理流程保持一致。</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numPr>
          <w:ilvl w:val="0"/>
          <w:numId w:val="16"/>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买方可以对同一笔支付申请使用单个或多个票据包支付对应的订单。</w:t>
      </w:r>
    </w:p>
    <w:p>
      <w:pPr>
        <w:numPr>
          <w:ilvl w:val="0"/>
          <w:numId w:val="16"/>
        </w:numPr>
        <w:spacing w:line="590" w:lineRule="exact"/>
        <w:ind w:firstLine="640" w:firstLineChars="200"/>
        <w:rPr>
          <w:rFonts w:ascii="仿宋" w:hAnsi="仿宋" w:eastAsia="仿宋" w:cs="仿宋"/>
          <w:b/>
          <w:bCs/>
          <w:sz w:val="32"/>
          <w:szCs w:val="32"/>
          <w:lang w:bidi="ar"/>
        </w:rPr>
      </w:pPr>
      <w:r>
        <w:rPr>
          <w:rFonts w:hint="eastAsia" w:ascii="仿宋" w:hAnsi="仿宋" w:eastAsia="仿宋" w:cs="仿宋"/>
          <w:sz w:val="32"/>
          <w:szCs w:val="32"/>
          <w:lang w:bidi="ar"/>
        </w:rPr>
        <w:t>买方在办理票据锁定时，可以选择允许电票开户行代理企业签章办理背书，电票开户行根据与企业签订协议，自动为买方企业向指定卖方企业发起背书申请。</w:t>
      </w:r>
    </w:p>
    <w:p>
      <w:pPr>
        <w:numPr>
          <w:ilvl w:val="0"/>
          <w:numId w:val="16"/>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买方必须确定本企业是当前待支付票据的出票人或持票人。</w:t>
      </w:r>
    </w:p>
    <w:p>
      <w:pPr>
        <w:numPr>
          <w:ilvl w:val="0"/>
          <w:numId w:val="16"/>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买、卖双方信息和电票账户必须与发起支付申请时的信息一致。</w:t>
      </w:r>
    </w:p>
    <w:p>
      <w:pPr>
        <w:numPr>
          <w:ilvl w:val="0"/>
          <w:numId w:val="16"/>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单笔</w:t>
      </w:r>
      <w:r>
        <w:rPr>
          <w:rFonts w:ascii="仿宋" w:hAnsi="仿宋" w:eastAsia="仿宋" w:cs="仿宋"/>
          <w:sz w:val="32"/>
          <w:szCs w:val="32"/>
          <w:lang w:bidi="ar"/>
        </w:rPr>
        <w:t>支付</w:t>
      </w:r>
      <w:r>
        <w:rPr>
          <w:rFonts w:hint="eastAsia" w:ascii="仿宋" w:hAnsi="仿宋" w:eastAsia="仿宋" w:cs="仿宋"/>
          <w:sz w:val="32"/>
          <w:szCs w:val="32"/>
          <w:lang w:bidi="ar"/>
        </w:rPr>
        <w:t>（流水单）一旦完成或取消，不允许再次办理</w:t>
      </w:r>
      <w:r>
        <w:rPr>
          <w:rFonts w:ascii="仿宋" w:hAnsi="仿宋" w:eastAsia="仿宋" w:cs="仿宋"/>
          <w:sz w:val="32"/>
          <w:szCs w:val="32"/>
          <w:lang w:bidi="ar"/>
        </w:rPr>
        <w:t>锁票</w:t>
      </w:r>
      <w:r>
        <w:rPr>
          <w:rFonts w:hint="eastAsia" w:ascii="仿宋" w:hAnsi="仿宋" w:eastAsia="仿宋" w:cs="仿宋"/>
          <w:sz w:val="32"/>
          <w:szCs w:val="32"/>
          <w:lang w:bidi="ar"/>
        </w:rPr>
        <w:t>。</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场景一：收银台锁票模式</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1.跳转至收银台（B2B平台）：买、卖双方在B2B平台达成交易选择“票付通”支付后，向合作机构申请跳转至收银台。</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2.收银台锁票（合作机构）：买方在收银台显示的订单录入单个或多个票据包信息，包括票据</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包</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号、子票区间（可选）、票据包支付金额等信息，选择“见证支付”或“即时支付”向票交所申请锁票。</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3.锁票结果处理（合作机构/买方电票开户行）：票交所按照买方提交的支付金额将待支付票据包分包</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生成并锁定新票据包。合作机构、买方电票开户行根据票交所反馈的票据包处理结果通知更新支付状态，合作机构将处理结果转发至B2B平台。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买方选择“见证支付”的，票交所预锁定待支付的票据包，并限定收款人（或被背书人）。</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买方选择“即时支付”，票交所指定待支付票据包的收款人（或被背书人）。</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4.网银支付申请（买方电票开户行）：根据买方电票开户行是否已实现线上跳转功能，提供两种提交票据的处理方式。</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（1）电票开户行未实现线上跳转功能</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买方在B2B平台收到锁票结果通知后，自行登陆开户行网银，提交已锁定的票据包。</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（2）电票开户行已实现线上跳转功能</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从收银台经票交所跳转至电票开户行网银，票交所将票据支付信息传递买方电票开户行。买方登陆网银后，在“票付通”待处理任务中向指定的收款人（或被背书人）提交票据，完成操作后经收银台回跳至B2B平台。</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5.支付结果处理（合作机构/B2B平台/电票开户行）：B2B平台收到经合作机构转发的相关票据提交信息后，通知买、卖双方安排后续货物（或服务）交付。电票开户行根据票交所通知，变更并向企业展示最新的票据支付状态。</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后续流程接本指南第“3.3.3”和“3.3.4”章节。</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场景二：电票开户行网银选票或签票模式</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1.跳转至收银台（B2B平台）：买、卖双方在B2B平台达成交易选择“票付通”支付后，向合作机构申请跳转至收银台。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2.收银台转跳至网银（合作机构）：买方在收银台选择“线上选择票据”或“线上签发票据”，经票交所跳转至买方电票开户行网银（需实现电票开户行线上跳转功能）。</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3.网银锁票+支付（买方电票开户行）：票交所将订单信息传递至电票开户行，买方登陆电票开户行网银后，进入“票付通”待处理任务，完成相关操作后，经收银台回跳至B2B平台。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（1）线上选择票据</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买方选择单个或多个票据包，按照“见证支付”或“即时支付”方式申请锁票并提交票据。</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（2）线上签发票据</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买方在开户行网银完成出票、承兑操作后，按照“见证支付”或“即时支付”方式向票交所申请锁票并提交票据。</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支付结果处理（合作机构/B2B平台/电票开户行）：B2B平台收到经合作机构转发的相关票据提交信息后，通知买、卖双方安排后续货物（或服务）交付。电票开户行根据票交所通知，变更并向企业展示最新的票据支付状态。</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后续流程接本指南第“3.3.3”和“3.3.4”章节。</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814" w:name="_Toc30700"/>
      <w:bookmarkStart w:id="815" w:name="_Toc410634499"/>
      <w:bookmarkStart w:id="816" w:name="_Toc4965"/>
      <w:bookmarkStart w:id="817" w:name="_Toc13843"/>
      <w:r>
        <w:rPr>
          <w:rFonts w:hint="eastAsia" w:ascii="仿宋" w:hAnsi="仿宋" w:eastAsia="仿宋" w:cs="仿宋"/>
          <w:b/>
          <w:bCs/>
          <w:sz w:val="32"/>
          <w:szCs w:val="32"/>
          <w:lang w:bidi="ar"/>
        </w:rPr>
        <w:t>3.3.3 票据解锁</w:t>
      </w:r>
      <w:bookmarkEnd w:id="814"/>
      <w:bookmarkEnd w:id="815"/>
      <w:bookmarkEnd w:id="816"/>
      <w:bookmarkEnd w:id="817"/>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pPr>
      <w:r>
        <w:rPr>
          <w:rFonts w:hint="eastAsia" w:ascii="仿宋" w:hAnsi="仿宋" w:eastAsia="仿宋" w:cs="仿宋"/>
          <w:sz w:val="32"/>
          <w:szCs w:val="32"/>
          <w:lang w:bidi="ar"/>
        </w:rPr>
        <w:t>平台企业完成锁票操作后，买、卖双方根据订单处理结果对票据发起解锁过户或解锁撤销申请。</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numPr>
          <w:ilvl w:val="0"/>
          <w:numId w:val="17"/>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平台企业仅能够对已锁定的票据办理解锁。</w:t>
      </w:r>
    </w:p>
    <w:p>
      <w:pPr>
        <w:numPr>
          <w:ilvl w:val="0"/>
          <w:numId w:val="17"/>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平台企业办理票据解锁时，须确认买、卖双方信息和电票账户必须与之前已发起锁票信息一致。</w:t>
      </w:r>
    </w:p>
    <w:p>
      <w:pPr>
        <w:widowControl/>
        <w:numPr>
          <w:ilvl w:val="0"/>
          <w:numId w:val="17"/>
        </w:numPr>
        <w:spacing w:line="590" w:lineRule="exact"/>
        <w:ind w:firstLine="640" w:firstLineChars="200"/>
        <w:rPr>
          <w:rFonts w:ascii="仿宋" w:hAnsi="仿宋" w:eastAsia="仿宋" w:cs="仿宋"/>
          <w:b/>
          <w:bCs/>
          <w:sz w:val="32"/>
          <w:szCs w:val="32"/>
          <w:lang w:bidi="ar"/>
        </w:rPr>
      </w:pPr>
      <w:r>
        <w:rPr>
          <w:rFonts w:hint="eastAsia" w:ascii="仿宋" w:hAnsi="仿宋" w:eastAsia="仿宋" w:cs="仿宋"/>
          <w:sz w:val="32"/>
          <w:szCs w:val="32"/>
          <w:lang w:bidi="ar"/>
        </w:rPr>
        <w:t>平台企业不得对已锁定票据包中的部分票据办理解锁。</w:t>
      </w:r>
    </w:p>
    <w:p>
      <w:pPr>
        <w:widowControl/>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票据解锁（B2B平台/合作机构）：买、卖双方在B2B平台确认货物（或服务）交付无误的，通过B2B平台发起票据解锁过户的请求；买、卖双方确认取消交易的，根据协商结果通过B2B平台发起解锁撤票的请求。合作机构将票据解锁请求指令转发至票交所。</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2.解锁结果处理（合作机构/电票开户行）：票交所将解锁结果通知合作机构和电票开户行，合作机构将处理结果转发至B2B平台，电票开户行变更并向企业展示最新的票据支付状态。</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818" w:name="_Toc15895"/>
      <w:bookmarkStart w:id="819" w:name="_Toc27543"/>
      <w:bookmarkStart w:id="820" w:name="_Toc15089"/>
      <w:bookmarkStart w:id="821" w:name="_Toc741122678"/>
      <w:r>
        <w:rPr>
          <w:rFonts w:hint="eastAsia" w:ascii="仿宋" w:hAnsi="仿宋" w:eastAsia="仿宋" w:cs="仿宋"/>
          <w:b/>
          <w:bCs/>
          <w:sz w:val="32"/>
          <w:szCs w:val="32"/>
          <w:lang w:bidi="ar"/>
        </w:rPr>
        <w:t>3.3.4 签收</w:t>
      </w:r>
      <w:r>
        <w:rPr>
          <w:rFonts w:hint="eastAsia" w:ascii="仿宋" w:hAnsi="仿宋" w:eastAsia="仿宋" w:cs="仿宋"/>
          <w:b/>
          <w:bCs/>
          <w:sz w:val="32"/>
          <w:szCs w:val="32"/>
          <w:lang w:eastAsia="zh-CN" w:bidi="ar"/>
        </w:rPr>
        <w:t>、</w:t>
      </w:r>
      <w:r>
        <w:rPr>
          <w:rFonts w:hint="eastAsia" w:ascii="仿宋" w:hAnsi="仿宋" w:eastAsia="仿宋" w:cs="仿宋"/>
          <w:b/>
          <w:bCs/>
          <w:sz w:val="32"/>
          <w:szCs w:val="32"/>
          <w:lang w:bidi="ar"/>
        </w:rPr>
        <w:t>驳回</w:t>
      </w:r>
      <w:r>
        <w:rPr>
          <w:rFonts w:hint="eastAsia" w:ascii="仿宋" w:hAnsi="仿宋" w:eastAsia="仿宋" w:cs="仿宋"/>
          <w:b/>
          <w:bCs/>
          <w:sz w:val="32"/>
          <w:szCs w:val="32"/>
          <w:lang w:eastAsia="zh-CN" w:bidi="ar"/>
        </w:rPr>
        <w:t>（或撤销）</w:t>
      </w:r>
      <w:r>
        <w:rPr>
          <w:rFonts w:hint="eastAsia" w:ascii="仿宋" w:hAnsi="仿宋" w:eastAsia="仿宋" w:cs="仿宋"/>
          <w:b/>
          <w:bCs/>
          <w:sz w:val="32"/>
          <w:szCs w:val="32"/>
          <w:lang w:bidi="ar"/>
        </w:rPr>
        <w:t>票据</w:t>
      </w:r>
      <w:bookmarkEnd w:id="818"/>
      <w:bookmarkEnd w:id="819"/>
      <w:bookmarkEnd w:id="820"/>
      <w:bookmarkEnd w:id="821"/>
    </w:p>
    <w:p>
      <w:pPr>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平台企业根据线上票据解锁处理结果，选择签收</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驳回</w:t>
      </w:r>
      <w:r>
        <w:rPr>
          <w:rFonts w:hint="eastAsia" w:ascii="仿宋" w:hAnsi="仿宋" w:eastAsia="仿宋" w:cs="仿宋"/>
          <w:sz w:val="32"/>
          <w:szCs w:val="32"/>
          <w:lang w:eastAsia="zh-CN" w:bidi="ar"/>
        </w:rPr>
        <w:t>（或撤销）</w:t>
      </w:r>
      <w:r>
        <w:rPr>
          <w:rFonts w:hint="eastAsia" w:ascii="仿宋" w:hAnsi="仿宋" w:eastAsia="仿宋" w:cs="仿宋"/>
          <w:sz w:val="32"/>
          <w:szCs w:val="32"/>
          <w:lang w:bidi="ar"/>
        </w:rPr>
        <w:t>票据。</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widowControl/>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1.票据解锁后买、卖双方可以办理票据签收</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驳回</w:t>
      </w:r>
      <w:r>
        <w:rPr>
          <w:rFonts w:hint="eastAsia" w:ascii="仿宋" w:hAnsi="仿宋" w:eastAsia="仿宋" w:cs="仿宋"/>
          <w:sz w:val="32"/>
          <w:szCs w:val="32"/>
          <w:lang w:eastAsia="zh-CN" w:bidi="ar"/>
        </w:rPr>
        <w:t>（或撤销）</w:t>
      </w:r>
      <w:r>
        <w:rPr>
          <w:rFonts w:hint="eastAsia" w:ascii="仿宋" w:hAnsi="仿宋" w:eastAsia="仿宋" w:cs="仿宋"/>
          <w:sz w:val="32"/>
          <w:szCs w:val="32"/>
          <w:lang w:bidi="ar"/>
        </w:rPr>
        <w:t>。</w:t>
      </w:r>
    </w:p>
    <w:p>
      <w:pPr>
        <w:widowControl/>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2.买</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卖</w:t>
      </w:r>
      <w:r>
        <w:rPr>
          <w:rFonts w:hint="eastAsia" w:ascii="仿宋" w:hAnsi="仿宋" w:eastAsia="仿宋" w:cs="仿宋"/>
          <w:sz w:val="32"/>
          <w:szCs w:val="32"/>
          <w:lang w:eastAsia="zh-CN" w:bidi="ar"/>
        </w:rPr>
        <w:t>双</w:t>
      </w:r>
      <w:r>
        <w:rPr>
          <w:rFonts w:hint="eastAsia" w:ascii="仿宋" w:hAnsi="仿宋" w:eastAsia="仿宋" w:cs="仿宋"/>
          <w:sz w:val="32"/>
          <w:szCs w:val="32"/>
          <w:lang w:bidi="ar"/>
        </w:rPr>
        <w:t>方电票开户行可以根据与企业签订的协议，自动为平台企业签收</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驳回</w:t>
      </w:r>
      <w:r>
        <w:rPr>
          <w:rFonts w:hint="eastAsia" w:ascii="仿宋" w:hAnsi="仿宋" w:eastAsia="仿宋" w:cs="仿宋"/>
          <w:sz w:val="32"/>
          <w:szCs w:val="32"/>
          <w:lang w:eastAsia="zh-CN" w:bidi="ar"/>
        </w:rPr>
        <w:t>（或撤销）</w:t>
      </w:r>
      <w:r>
        <w:rPr>
          <w:rFonts w:hint="eastAsia" w:ascii="仿宋" w:hAnsi="仿宋" w:eastAsia="仿宋" w:cs="仿宋"/>
          <w:sz w:val="32"/>
          <w:szCs w:val="32"/>
          <w:lang w:bidi="ar"/>
        </w:rPr>
        <w:t>票据。</w:t>
      </w:r>
    </w:p>
    <w:p>
      <w:pPr>
        <w:widowControl/>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1.票据签收/驳回</w:t>
      </w:r>
      <w:r>
        <w:rPr>
          <w:rFonts w:hint="eastAsia" w:ascii="仿宋" w:hAnsi="仿宋" w:eastAsia="仿宋" w:cs="仿宋"/>
          <w:sz w:val="32"/>
          <w:szCs w:val="32"/>
          <w:lang w:eastAsia="zh-CN" w:bidi="ar"/>
        </w:rPr>
        <w:t>（或撤销）</w:t>
      </w:r>
      <w:r>
        <w:rPr>
          <w:rFonts w:hint="eastAsia" w:ascii="仿宋" w:hAnsi="仿宋" w:eastAsia="仿宋" w:cs="仿宋"/>
          <w:sz w:val="32"/>
          <w:szCs w:val="32"/>
          <w:lang w:bidi="ar"/>
        </w:rPr>
        <w:t>（电票开户行）：买、卖双方根据上述处理结果登陆电票开户行网银签收或驳回票据。</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（1）见证支付</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买、卖双方发起票据解锁过户的，卖方选择自行登陆开户行网银签收票据包或由电票开户行根据与平台企业签订的协议，代为签收票据包。</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买、卖双方发起解锁撤票的，卖方登陆开户行网银驳回买方提交票据的申请，或由买方登陆电票开户行网银撤销提交票据的申请。</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（2）即时支付</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方一旦提交票据至卖方后，无需解锁票据包，卖方即可登陆电票开户行网银签收票据包或由电票开户行根据与平台企业签订的协议，代为签收票据包；买、卖双方可以根据协商结果对已提交的票据进行撤销或驳回处理。</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2.票据处理结果(合作机构/电票开户行)：票交所将票据处理结果通知合作机构和电票开户行，合作机构将处理结果转发至B2B平台，电票开户行变更并向企业展示最新的票据支付状态。</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1"/>
        <w:rPr>
          <w:rFonts w:ascii="仿宋" w:hAnsi="仿宋" w:eastAsia="仿宋" w:cs="仿宋"/>
          <w:b/>
          <w:bCs/>
          <w:sz w:val="32"/>
          <w:szCs w:val="32"/>
          <w:lang w:bidi="ar"/>
        </w:rPr>
      </w:pPr>
      <w:bookmarkStart w:id="822" w:name="_Toc16721"/>
      <w:bookmarkStart w:id="823" w:name="_Toc7568"/>
      <w:bookmarkStart w:id="824" w:name="_Toc141513148"/>
      <w:bookmarkStart w:id="825" w:name="_Toc27842"/>
      <w:bookmarkStart w:id="826" w:name="_Toc12405"/>
      <w:bookmarkStart w:id="827" w:name="_Toc9969"/>
      <w:bookmarkStart w:id="828" w:name="_Toc16399"/>
      <w:bookmarkStart w:id="829" w:name="_Toc2251"/>
      <w:bookmarkStart w:id="830" w:name="_Toc27091"/>
      <w:bookmarkStart w:id="831" w:name="_Toc22955"/>
      <w:bookmarkStart w:id="832" w:name="_Toc27744"/>
      <w:bookmarkStart w:id="833" w:name="_Toc12687"/>
      <w:bookmarkStart w:id="834" w:name="_Toc18218"/>
      <w:bookmarkStart w:id="835" w:name="_Toc26523"/>
      <w:r>
        <w:rPr>
          <w:rFonts w:hint="eastAsia" w:ascii="仿宋" w:hAnsi="仿宋" w:eastAsia="仿宋" w:cs="仿宋"/>
          <w:b/>
          <w:bCs/>
          <w:sz w:val="32"/>
          <w:szCs w:val="32"/>
          <w:lang w:bidi="ar"/>
        </w:rPr>
        <w:t>3.4 线上票据支付流水更新</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pPr>
        <w:widowControl/>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平台企业发起对支付流水信息更新申请，合作机构和B2B平台根据票交所处理情况同步更新相关信息，包括支付流水项下买方或卖方电票账户信息、支付流水状态等。</w:t>
      </w:r>
    </w:p>
    <w:p>
      <w:pPr>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若更新事项为“信息变更”，企业可以更改买方或卖方的电票账号用于支付本订单。</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1.业务发起（B2B平台）：平台企业通过B2B平台或收银台发起支付流水更新申请。</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2.结果处理（合作机构/电票开户行）：合作机构将支付流水状态更新申请发送至票交所，票交所将处理结果（状态变更为已完成或已取消）通知合作机构和电票开户行。</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1"/>
        <w:rPr>
          <w:rFonts w:ascii="仿宋" w:hAnsi="仿宋" w:eastAsia="仿宋" w:cs="仿宋"/>
          <w:b/>
          <w:bCs/>
          <w:sz w:val="32"/>
          <w:szCs w:val="32"/>
          <w:lang w:bidi="ar"/>
        </w:rPr>
      </w:pPr>
      <w:bookmarkStart w:id="836" w:name="_Toc16916"/>
      <w:bookmarkStart w:id="837" w:name="_Toc16630"/>
      <w:bookmarkStart w:id="838" w:name="_Toc29403"/>
      <w:bookmarkStart w:id="839" w:name="_Toc14678"/>
      <w:bookmarkStart w:id="840" w:name="_Toc1338"/>
      <w:bookmarkStart w:id="841" w:name="_Toc14305"/>
      <w:bookmarkStart w:id="842" w:name="_Toc23732"/>
      <w:bookmarkStart w:id="843" w:name="_Toc26502"/>
      <w:bookmarkStart w:id="844" w:name="_Toc8982"/>
      <w:bookmarkStart w:id="845" w:name="_Toc283000141"/>
      <w:bookmarkStart w:id="846" w:name="_Toc23918"/>
      <w:bookmarkStart w:id="847" w:name="_Toc5102"/>
      <w:bookmarkStart w:id="848" w:name="_Toc268"/>
      <w:bookmarkStart w:id="849" w:name="_Toc13872"/>
      <w:r>
        <w:rPr>
          <w:rFonts w:hint="eastAsia" w:ascii="仿宋" w:hAnsi="仿宋" w:eastAsia="仿宋" w:cs="仿宋"/>
          <w:b/>
          <w:bCs/>
          <w:sz w:val="32"/>
          <w:szCs w:val="32"/>
          <w:lang w:bidi="ar"/>
        </w:rPr>
        <w:t>3.5 交易信息上传</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[业务概述]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买、卖双方通过合作机构将拟支付订单的相关信息，包括合同编号、发票号、物流、可疑订单等信息以及相关影像文件上传至票交所。</w:t>
      </w:r>
    </w:p>
    <w:p>
      <w:pPr>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widowControl/>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平台企业可以对已完成（或已发起未完成）的订单上传相关交易信息和文件。</w:t>
      </w:r>
    </w:p>
    <w:p>
      <w:pPr>
        <w:widowControl/>
        <w:numPr>
          <w:ilvl w:val="255"/>
          <w:numId w:val="0"/>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[业务流程]</w:t>
      </w:r>
    </w:p>
    <w:p>
      <w:pPr>
        <w:widowControl/>
        <w:numPr>
          <w:ilvl w:val="255"/>
          <w:numId w:val="0"/>
        </w:numPr>
        <w:spacing w:line="590" w:lineRule="exact"/>
        <w:ind w:firstLine="640" w:firstLineChars="200"/>
        <w:rPr>
          <w:rFonts w:ascii="仿宋" w:hAnsi="仿宋" w:eastAsia="仿宋" w:cs="仿宋"/>
          <w:sz w:val="32"/>
          <w:szCs w:val="32"/>
          <w:lang w:bidi="ar"/>
        </w:rPr>
      </w:pPr>
      <w:bookmarkStart w:id="850" w:name="_Toc8294"/>
      <w:r>
        <w:rPr>
          <w:rFonts w:hint="eastAsia" w:ascii="仿宋" w:hAnsi="仿宋" w:eastAsia="仿宋" w:cs="仿宋"/>
          <w:sz w:val="32"/>
          <w:szCs w:val="32"/>
          <w:lang w:val="en-US" w:eastAsia="zh-CN" w:bidi="ar"/>
        </w:rPr>
        <w:t>1.</w:t>
      </w:r>
      <w:r>
        <w:rPr>
          <w:rFonts w:hint="eastAsia" w:ascii="仿宋" w:hAnsi="仿宋" w:eastAsia="仿宋" w:cs="仿宋"/>
          <w:sz w:val="32"/>
          <w:szCs w:val="32"/>
          <w:lang w:bidi="ar"/>
        </w:rPr>
        <w:t>上传附件：由合作机构根据平台企业申请发起订单附件上传申请，票交所通知其处理结果。</w:t>
      </w:r>
      <w:bookmarkEnd w:id="850"/>
    </w:p>
    <w:p>
      <w:pPr>
        <w:widowControl/>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val="en-US" w:eastAsia="zh-CN" w:bidi="ar"/>
        </w:rPr>
        <w:t>2.</w:t>
      </w:r>
      <w:r>
        <w:rPr>
          <w:rFonts w:hint="eastAsia" w:ascii="仿宋" w:hAnsi="仿宋" w:eastAsia="仿宋" w:cs="仿宋"/>
          <w:sz w:val="32"/>
          <w:szCs w:val="32"/>
          <w:lang w:bidi="ar"/>
        </w:rPr>
        <w:t>交易信息登记</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（1）交易附加信息上传</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附件登记申请通过后，平台企业可以继续上送</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订单附加信息上传申请</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，相关信息上传成功后，平台企业可以查询已上传的附件。</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（2）风险预警信息上传</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B2B平台一旦发现存在可疑订单，须通过“订单附加信息上传申请”将订单的可疑订单标记为是,并同步登记相关可疑内容。</w:t>
      </w:r>
    </w:p>
    <w:p>
      <w:pPr>
        <w:rPr>
          <w:rFonts w:ascii="仿宋" w:hAnsi="仿宋" w:eastAsia="仿宋" w:cs="仿宋"/>
          <w:sz w:val="32"/>
          <w:szCs w:val="32"/>
          <w:lang w:bidi="ar"/>
        </w:rPr>
      </w:pPr>
      <w:r>
        <w:rPr>
          <w:rFonts w:hint="eastAsia" w:ascii="仿宋" w:hAnsi="仿宋" w:eastAsia="仿宋" w:cs="仿宋"/>
          <w:sz w:val="32"/>
          <w:szCs w:val="32"/>
          <w:lang w:bidi="ar"/>
        </w:rPr>
        <w:br w:type="page"/>
      </w:r>
    </w:p>
    <w:p>
      <w:pPr>
        <w:spacing w:line="590" w:lineRule="exact"/>
        <w:jc w:val="center"/>
        <w:outlineLvl w:val="0"/>
        <w:rPr>
          <w:rFonts w:ascii="仿宋" w:hAnsi="仿宋" w:eastAsia="仿宋" w:cs="仿宋"/>
          <w:b/>
          <w:bCs/>
          <w:kern w:val="44"/>
          <w:sz w:val="40"/>
          <w:szCs w:val="40"/>
        </w:rPr>
      </w:pPr>
      <w:bookmarkStart w:id="851" w:name="_Toc1665"/>
      <w:bookmarkStart w:id="852" w:name="_Toc26213"/>
      <w:bookmarkStart w:id="853" w:name="_Toc12260"/>
      <w:bookmarkStart w:id="854" w:name="_Toc198009032"/>
      <w:r>
        <w:rPr>
          <w:rFonts w:hint="eastAsia" w:ascii="仿宋" w:hAnsi="仿宋" w:eastAsia="仿宋" w:cs="仿宋"/>
          <w:b/>
          <w:bCs/>
          <w:kern w:val="44"/>
          <w:sz w:val="40"/>
          <w:szCs w:val="40"/>
        </w:rPr>
        <w:t>第四章 线上贴现</w:t>
      </w:r>
      <w:bookmarkEnd w:id="851"/>
      <w:bookmarkEnd w:id="852"/>
      <w:bookmarkEnd w:id="853"/>
      <w:bookmarkEnd w:id="854"/>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855" w:name="_Toc22146"/>
      <w:bookmarkStart w:id="856" w:name="_Toc3291"/>
      <w:bookmarkStart w:id="857" w:name="_Toc19705"/>
      <w:bookmarkStart w:id="858" w:name="_Toc2637"/>
      <w:bookmarkStart w:id="859" w:name="_Toc32765"/>
      <w:bookmarkStart w:id="860" w:name="_Toc7039"/>
      <w:bookmarkStart w:id="861" w:name="_Toc2811"/>
      <w:bookmarkStart w:id="862" w:name="_Toc4246"/>
      <w:bookmarkStart w:id="863" w:name="_Toc28846"/>
      <w:bookmarkStart w:id="864" w:name="_Toc23553"/>
      <w:bookmarkStart w:id="865" w:name="_Toc23716"/>
      <w:bookmarkStart w:id="866" w:name="_Toc397918001"/>
      <w:bookmarkStart w:id="867" w:name="_Toc21496"/>
      <w:bookmarkStart w:id="868" w:name="_Toc24498"/>
      <w:r>
        <w:rPr>
          <w:rFonts w:hint="eastAsia" w:ascii="仿宋" w:hAnsi="仿宋" w:eastAsia="仿宋" w:cs="仿宋"/>
          <w:b/>
          <w:color w:val="000000" w:themeColor="text1"/>
          <w:sz w:val="32"/>
          <w14:textFill>
            <w14:solidFill>
              <w14:schemeClr w14:val="tx1"/>
            </w14:solidFill>
          </w14:textFill>
        </w:rPr>
        <w:t xml:space="preserve">4.1 </w:t>
      </w:r>
      <w:bookmarkEnd w:id="855"/>
      <w:bookmarkEnd w:id="856"/>
      <w:bookmarkEnd w:id="857"/>
      <w:bookmarkEnd w:id="858"/>
      <w:bookmarkEnd w:id="859"/>
      <w:bookmarkEnd w:id="860"/>
      <w:bookmarkEnd w:id="861"/>
      <w:bookmarkEnd w:id="862"/>
      <w:bookmarkEnd w:id="863"/>
      <w:bookmarkEnd w:id="864"/>
      <w:r>
        <w:rPr>
          <w:rFonts w:hint="eastAsia" w:ascii="仿宋" w:hAnsi="仿宋" w:eastAsia="仿宋" w:cs="仿宋"/>
          <w:b/>
          <w:color w:val="000000" w:themeColor="text1"/>
          <w:sz w:val="32"/>
          <w14:textFill>
            <w14:solidFill>
              <w14:schemeClr w14:val="tx1"/>
            </w14:solidFill>
          </w14:textFill>
        </w:rPr>
        <w:t>概述</w:t>
      </w:r>
      <w:bookmarkEnd w:id="865"/>
      <w:bookmarkEnd w:id="866"/>
      <w:bookmarkEnd w:id="867"/>
      <w:bookmarkEnd w:id="868"/>
    </w:p>
    <w:p>
      <w:pPr>
        <w:spacing w:line="590" w:lineRule="exact"/>
        <w:ind w:firstLine="640" w:firstLineChars="200"/>
        <w:rPr>
          <w:rFonts w:ascii="仿宋" w:hAnsi="仿宋" w:eastAsia="仿宋" w:cs="仿宋"/>
          <w:sz w:val="32"/>
          <w:szCs w:val="32"/>
        </w:rPr>
      </w:pPr>
      <w:bookmarkStart w:id="869" w:name="_Toc4646"/>
      <w:bookmarkStart w:id="870" w:name="_Toc28941"/>
      <w:bookmarkStart w:id="871" w:name="_Toc9425"/>
      <w:bookmarkStart w:id="872" w:name="_Toc5591"/>
      <w:bookmarkStart w:id="873" w:name="_Toc25799"/>
      <w:bookmarkStart w:id="874" w:name="_Toc14303"/>
      <w:bookmarkStart w:id="875" w:name="_Toc27570"/>
      <w:bookmarkStart w:id="876" w:name="_Toc28983"/>
      <w:bookmarkStart w:id="877" w:name="_Toc2496"/>
      <w:bookmarkStart w:id="878" w:name="_Toc738"/>
      <w:bookmarkStart w:id="879" w:name="_Toc6415"/>
      <w:bookmarkStart w:id="880" w:name="_Toc7803"/>
      <w:bookmarkStart w:id="881" w:name="_Toc197"/>
      <w:bookmarkStart w:id="882" w:name="_Toc11133"/>
      <w:bookmarkStart w:id="883" w:name="_Toc1811"/>
      <w:bookmarkStart w:id="884" w:name="_Toc24844"/>
      <w:bookmarkStart w:id="885" w:name="_Toc31623"/>
      <w:bookmarkStart w:id="886" w:name="_Toc16952"/>
      <w:bookmarkStart w:id="887" w:name="_Toc21001"/>
      <w:bookmarkStart w:id="888" w:name="_Toc14575"/>
      <w:bookmarkStart w:id="889" w:name="_Toc22462"/>
      <w:r>
        <w:rPr>
          <w:rFonts w:hint="eastAsia" w:ascii="仿宋" w:hAnsi="仿宋" w:eastAsia="仿宋" w:cs="仿宋"/>
          <w:sz w:val="32"/>
          <w:szCs w:val="32"/>
        </w:rPr>
        <w:t>线上贴现业务模块为业务参与者提供贴现业务</w:t>
      </w:r>
      <w:r>
        <w:rPr>
          <w:rFonts w:ascii="仿宋" w:hAnsi="仿宋" w:eastAsia="仿宋" w:cs="仿宋"/>
          <w:sz w:val="32"/>
          <w:szCs w:val="32"/>
        </w:rPr>
        <w:t>的</w:t>
      </w:r>
      <w:r>
        <w:rPr>
          <w:rFonts w:hint="eastAsia" w:ascii="仿宋" w:hAnsi="仿宋" w:eastAsia="仿宋" w:cs="仿宋"/>
          <w:sz w:val="32"/>
          <w:szCs w:val="32"/>
        </w:rPr>
        <w:t>签约、贴现询价、线上成交以及清算结算等功能。</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贴现通业务中的票据经纪机构通过线上贴现业务模块为其企业客户提供贴现询价等服务，贴现机构通过线上贴现业务模块予以应答。</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供应链票据通过其所在的供应链平台办理线上贴现业务。</w:t>
      </w:r>
    </w:p>
    <w:p>
      <w:pPr>
        <w:spacing w:line="590" w:lineRule="exact"/>
        <w:ind w:firstLine="640" w:firstLineChars="200"/>
        <w:rPr>
          <w:rFonts w:ascii="仿宋" w:hAnsi="仿宋" w:eastAsia="仿宋" w:cs="仿宋"/>
          <w:sz w:val="32"/>
        </w:rPr>
      </w:pPr>
      <w:r>
        <w:rPr>
          <w:rFonts w:hint="eastAsia" w:ascii="仿宋" w:hAnsi="仿宋" w:eastAsia="仿宋" w:cs="仿宋"/>
          <w:sz w:val="32"/>
          <w:szCs w:val="32"/>
        </w:rPr>
        <w:t>贴现申请人、贴现机构通过票据经纪机构办理贴现业务的，遵守本指南、《</w:t>
      </w:r>
      <w:r>
        <w:rPr>
          <w:rFonts w:hint="eastAsia" w:ascii="仿宋" w:hAnsi="仿宋" w:eastAsia="仿宋" w:cs="仿宋"/>
          <w:color w:val="000000" w:themeColor="text1"/>
          <w:sz w:val="32"/>
          <w14:textFill>
            <w14:solidFill>
              <w14:schemeClr w14:val="tx1"/>
            </w14:solidFill>
          </w14:textFill>
        </w:rPr>
        <w:t>上海票据交易所贴现通业务操作规程（试行）》，若两者不一致的，除另行声明外，以最新规定为准。</w:t>
      </w:r>
      <w:r>
        <w:rPr>
          <w:rFonts w:hint="eastAsia" w:ascii="仿宋" w:hAnsi="仿宋" w:eastAsia="仿宋" w:cs="仿宋"/>
          <w:sz w:val="32"/>
          <w:szCs w:val="32"/>
        </w:rPr>
        <w:t>贴现申请人、贴现机构通过供应链平台办理线上贴现业务的，遵守本指南。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供应链平台应对通过其办理线上贴现业务的贴现申请人身份、电子签名真实性负审核责任，确保相关业务指令中贴现申请人电子签名</w:t>
      </w:r>
      <w:r>
        <w:rPr>
          <w:rFonts w:hint="eastAsia" w:ascii="仿宋" w:hAnsi="仿宋" w:eastAsia="仿宋" w:cs="仿宋"/>
          <w:color w:val="000000" w:themeColor="text1"/>
          <w:sz w:val="32"/>
          <w:szCs w:val="32"/>
          <w14:textFill>
            <w14:solidFill>
              <w14:schemeClr w14:val="tx1"/>
            </w14:solidFill>
          </w14:textFill>
        </w:rPr>
        <w:t>符合《中华人民共和国电子签名法》要求，是</w:t>
      </w:r>
      <w:r>
        <w:rPr>
          <w:rFonts w:hint="eastAsia" w:ascii="仿宋" w:hAnsi="仿宋" w:eastAsia="仿宋" w:cs="仿宋"/>
          <w:sz w:val="32"/>
          <w:szCs w:val="32"/>
        </w:rPr>
        <w:t>可靠的电子签名。供应链平台不得以任何形式，接受贴现申请人委托代为办理线上贴现业务。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线上贴现仅支持办理电票的买断式贴现业务。</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890" w:name="_Toc24037"/>
      <w:bookmarkStart w:id="891" w:name="_Toc24070"/>
      <w:bookmarkStart w:id="892" w:name="_Toc2555"/>
      <w:bookmarkStart w:id="893" w:name="_Toc28463"/>
      <w:bookmarkStart w:id="894" w:name="_Toc23854"/>
      <w:bookmarkStart w:id="895" w:name="_Toc22404"/>
      <w:bookmarkStart w:id="896" w:name="_Toc16740"/>
      <w:bookmarkStart w:id="897" w:name="_Toc10195"/>
      <w:bookmarkStart w:id="898" w:name="_Toc25347"/>
      <w:bookmarkStart w:id="899" w:name="_Toc28098"/>
      <w:bookmarkStart w:id="900" w:name="_Toc18625"/>
      <w:bookmarkStart w:id="901" w:name="_Toc2890"/>
      <w:bookmarkStart w:id="902" w:name="_Toc31228"/>
      <w:bookmarkStart w:id="903" w:name="_Toc12819"/>
      <w:bookmarkStart w:id="904" w:name="_Toc23253"/>
      <w:bookmarkStart w:id="905" w:name="_Toc90541426"/>
      <w:bookmarkStart w:id="906" w:name="_Toc495853138"/>
      <w:bookmarkStart w:id="907" w:name="_Toc19779"/>
      <w:bookmarkStart w:id="908" w:name="_Toc1268"/>
      <w:bookmarkStart w:id="909" w:name="_Toc18869"/>
      <w:bookmarkStart w:id="910" w:name="_Toc7295"/>
      <w:bookmarkStart w:id="911" w:name="_Toc15044"/>
      <w:bookmarkStart w:id="912" w:name="_Toc8651"/>
      <w:r>
        <w:rPr>
          <w:rFonts w:hint="eastAsia" w:ascii="仿宋" w:hAnsi="仿宋" w:eastAsia="仿宋" w:cs="仿宋"/>
          <w:b/>
          <w:color w:val="000000" w:themeColor="text1"/>
          <w:sz w:val="32"/>
          <w14:textFill>
            <w14:solidFill>
              <w14:schemeClr w14:val="tx1"/>
            </w14:solidFill>
          </w14:textFill>
        </w:rPr>
        <w:t>4.2 贴现申请人信息</w:t>
      </w:r>
      <w:bookmarkEnd w:id="890"/>
      <w:bookmarkEnd w:id="891"/>
      <w:bookmarkEnd w:id="892"/>
      <w:bookmarkEnd w:id="893"/>
      <w:bookmarkEnd w:id="894"/>
      <w:r>
        <w:rPr>
          <w:rFonts w:hint="eastAsia" w:ascii="仿宋" w:hAnsi="仿宋" w:eastAsia="仿宋" w:cs="仿宋"/>
          <w:b/>
          <w:color w:val="000000" w:themeColor="text1"/>
          <w:sz w:val="32"/>
          <w14:textFill>
            <w14:solidFill>
              <w14:schemeClr w14:val="tx1"/>
            </w14:solidFill>
          </w14:textFill>
        </w:rPr>
        <w:t>登记</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票据经纪机构在为企业提供经纪服务前，将贴现申请人信息登记至票交所。</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sz w:val="32"/>
          <w:szCs w:val="32"/>
        </w:rPr>
        <w:t>企业通过</w:t>
      </w:r>
      <w:r>
        <w:rPr>
          <w:rFonts w:ascii="仿宋" w:hAnsi="仿宋" w:eastAsia="仿宋" w:cs="仿宋"/>
          <w:sz w:val="32"/>
          <w:szCs w:val="32"/>
        </w:rPr>
        <w:t>供应链平台办理线上贴现业务前，</w:t>
      </w:r>
      <w:r>
        <w:rPr>
          <w:rFonts w:hint="eastAsia" w:ascii="仿宋" w:hAnsi="仿宋" w:eastAsia="仿宋" w:cs="仿宋"/>
          <w:sz w:val="32"/>
          <w:szCs w:val="32"/>
        </w:rPr>
        <w:t>通过</w:t>
      </w:r>
      <w:r>
        <w:rPr>
          <w:rFonts w:ascii="仿宋" w:hAnsi="仿宋" w:eastAsia="仿宋" w:cs="仿宋"/>
          <w:sz w:val="32"/>
          <w:szCs w:val="32"/>
        </w:rPr>
        <w:t>供应链平台将信息登记至票交所。</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[业务规则]</w:t>
      </w:r>
    </w:p>
    <w:p>
      <w:pPr>
        <w:tabs>
          <w:tab w:val="left" w:pos="312"/>
        </w:tabs>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1.贴现申请人信息登记完成后，才能使用签约、询价等服务功能。</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2.贴现申请人信息登记内容应当包括《授权承诺书》（附件1</w:t>
      </w:r>
      <w:r>
        <w:rPr>
          <w:rFonts w:hint="eastAsia" w:ascii="仿宋" w:hAnsi="仿宋" w:eastAsia="仿宋" w:cs="仿宋"/>
          <w:color w:val="000000" w:themeColor="text1"/>
          <w:sz w:val="32"/>
          <w:lang w:val="en-US" w:eastAsia="zh-CN"/>
          <w14:textFill>
            <w14:solidFill>
              <w14:schemeClr w14:val="tx1"/>
            </w14:solidFill>
          </w14:textFill>
        </w:rPr>
        <w:t>2</w:t>
      </w:r>
      <w:r>
        <w:rPr>
          <w:rFonts w:hint="eastAsia" w:ascii="仿宋" w:hAnsi="仿宋" w:eastAsia="仿宋" w:cs="仿宋"/>
          <w:color w:val="000000" w:themeColor="text1"/>
          <w:sz w:val="32"/>
          <w14:textFill>
            <w14:solidFill>
              <w14:schemeClr w14:val="tx1"/>
            </w14:solidFill>
          </w14:textFill>
        </w:rPr>
        <w:t>、1</w:t>
      </w:r>
      <w:r>
        <w:rPr>
          <w:rFonts w:hint="eastAsia" w:ascii="仿宋" w:hAnsi="仿宋" w:eastAsia="仿宋" w:cs="仿宋"/>
          <w:color w:val="000000" w:themeColor="text1"/>
          <w:sz w:val="32"/>
          <w:lang w:val="en-US" w:eastAsia="zh-CN"/>
          <w14:textFill>
            <w14:solidFill>
              <w14:schemeClr w14:val="tx1"/>
            </w14:solidFill>
          </w14:textFill>
        </w:rPr>
        <w:t>3</w:t>
      </w:r>
      <w:r>
        <w:rPr>
          <w:rFonts w:hint="eastAsia" w:ascii="仿宋" w:hAnsi="仿宋" w:eastAsia="仿宋" w:cs="仿宋"/>
          <w:color w:val="000000" w:themeColor="text1"/>
          <w:sz w:val="32"/>
          <w14:textFill>
            <w14:solidFill>
              <w14:schemeClr w14:val="tx1"/>
            </w14:solidFill>
          </w14:textFill>
        </w:rPr>
        <w:t>）。票据经纪机构、供应链平台应确保前述授权承诺书上企业印章或电子签名的真实性、有效性。</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使用实体印章的，票据经纪机构、供应链平台应确保企业在前述授权承诺书上加盖真实有效的印章；企业使用电子签名的，票据经纪机构、供应链平台应确保企业在前述授权承诺书上的签章为可靠的电子签名，符合《中华人民共和国电子签名法》相关要求。</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3.票据经纪机构、供应链平台应当妥善保存前述授权承诺书原件，以便相关参与方调阅取证。</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4.贴现申请人未提交《授权承诺书》（</w:t>
      </w:r>
      <w:r>
        <w:rPr>
          <w:rFonts w:hint="eastAsia" w:ascii="仿宋" w:hAnsi="仿宋" w:eastAsia="仿宋" w:cs="仿宋"/>
          <w:color w:val="000000" w:themeColor="text1"/>
          <w:sz w:val="32"/>
          <w:lang w:eastAsia="zh-CN"/>
          <w14:textFill>
            <w14:solidFill>
              <w14:schemeClr w14:val="tx1"/>
            </w14:solidFill>
          </w14:textFill>
        </w:rPr>
        <w:t>附件12</w:t>
      </w:r>
      <w:r>
        <w:rPr>
          <w:rFonts w:hint="eastAsia" w:ascii="仿宋" w:hAnsi="仿宋" w:eastAsia="仿宋" w:cs="仿宋"/>
          <w:color w:val="000000" w:themeColor="text1"/>
          <w:sz w:val="32"/>
          <w14:textFill>
            <w14:solidFill>
              <w14:schemeClr w14:val="tx1"/>
            </w14:solidFill>
          </w14:textFill>
        </w:rPr>
        <w:t>）的，票据经纪机构不</w:t>
      </w:r>
      <w:r>
        <w:rPr>
          <w:rFonts w:hint="eastAsia" w:ascii="仿宋" w:hAnsi="仿宋" w:eastAsia="仿宋" w:cs="仿宋"/>
          <w:color w:val="000000" w:themeColor="text1"/>
          <w:sz w:val="32"/>
          <w:szCs w:val="32"/>
          <w14:textFill>
            <w14:solidFill>
              <w14:schemeClr w14:val="tx1"/>
            </w14:solidFill>
          </w14:textFill>
        </w:rPr>
        <w:t>得为其</w:t>
      </w:r>
      <w:r>
        <w:rPr>
          <w:rFonts w:hint="eastAsia" w:ascii="仿宋" w:hAnsi="仿宋" w:eastAsia="仿宋" w:cs="仿宋"/>
          <w:color w:val="000000" w:themeColor="text1"/>
          <w:sz w:val="32"/>
          <w14:textFill>
            <w14:solidFill>
              <w14:schemeClr w14:val="tx1"/>
            </w14:solidFill>
          </w14:textFill>
        </w:rPr>
        <w:t>开通企业</w:t>
      </w:r>
      <w:r>
        <w:rPr>
          <w:rFonts w:hint="eastAsia" w:ascii="仿宋" w:hAnsi="仿宋" w:eastAsia="仿宋" w:cs="仿宋"/>
          <w:color w:val="000000" w:themeColor="text1"/>
          <w:sz w:val="32"/>
          <w:szCs w:val="32"/>
          <w14:textFill>
            <w14:solidFill>
              <w14:schemeClr w14:val="tx1"/>
            </w14:solidFill>
          </w14:textFill>
        </w:rPr>
        <w:t>签约和票据业务系统签发票据的询价等</w:t>
      </w:r>
      <w:r>
        <w:rPr>
          <w:rFonts w:hint="eastAsia" w:ascii="仿宋" w:hAnsi="仿宋" w:eastAsia="仿宋" w:cs="仿宋"/>
          <w:color w:val="000000" w:themeColor="text1"/>
          <w:sz w:val="32"/>
          <w14:textFill>
            <w14:solidFill>
              <w14:schemeClr w14:val="tx1"/>
            </w14:solidFill>
          </w14:textFill>
        </w:rPr>
        <w:t>功能。</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贴现申请人未提交《授权承诺书》（</w:t>
      </w:r>
      <w:r>
        <w:rPr>
          <w:rFonts w:hint="eastAsia" w:ascii="仿宋" w:hAnsi="仿宋" w:eastAsia="仿宋" w:cs="仿宋"/>
          <w:color w:val="000000" w:themeColor="text1"/>
          <w:sz w:val="32"/>
          <w:szCs w:val="32"/>
          <w:lang w:eastAsia="zh-CN"/>
          <w14:textFill>
            <w14:solidFill>
              <w14:schemeClr w14:val="tx1"/>
            </w14:solidFill>
          </w14:textFill>
        </w:rPr>
        <w:t>附件13</w:t>
      </w:r>
      <w:r>
        <w:rPr>
          <w:rFonts w:hint="eastAsia" w:ascii="仿宋" w:hAnsi="仿宋" w:eastAsia="仿宋" w:cs="仿宋"/>
          <w:color w:val="000000" w:themeColor="text1"/>
          <w:sz w:val="32"/>
          <w:szCs w:val="32"/>
          <w14:textFill>
            <w14:solidFill>
              <w14:schemeClr w14:val="tx1"/>
            </w14:solidFill>
          </w14:textFill>
        </w:rPr>
        <w:t>）的，供应链平台不能为其开通线上贴现服务功能。</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5.贴现申请人在票据经纪机构同一</w:t>
      </w:r>
      <w:r>
        <w:rPr>
          <w:rFonts w:hint="eastAsia" w:ascii="仿宋" w:hAnsi="仿宋" w:eastAsia="仿宋" w:cs="仿宋"/>
          <w:color w:val="000000" w:themeColor="text1"/>
          <w:sz w:val="32"/>
          <w:szCs w:val="32"/>
          <w14:textFill>
            <w14:solidFill>
              <w14:schemeClr w14:val="tx1"/>
            </w14:solidFill>
          </w14:textFill>
        </w:rPr>
        <w:t>法人</w:t>
      </w:r>
      <w:r>
        <w:rPr>
          <w:rFonts w:hint="eastAsia" w:ascii="仿宋" w:hAnsi="仿宋" w:eastAsia="仿宋" w:cs="仿宋"/>
          <w:color w:val="000000" w:themeColor="text1"/>
          <w:sz w:val="32"/>
          <w14:textFill>
            <w14:solidFill>
              <w14:schemeClr w14:val="tx1"/>
            </w14:solidFill>
          </w14:textFill>
        </w:rPr>
        <w:t>下不得存在两个状态为“正常”登记记录。若贴现申请人登记时，票据经纪机构</w:t>
      </w:r>
      <w:r>
        <w:rPr>
          <w:rFonts w:hint="eastAsia" w:ascii="仿宋" w:hAnsi="仿宋" w:eastAsia="仿宋" w:cs="仿宋"/>
          <w:color w:val="000000" w:themeColor="text1"/>
          <w:sz w:val="32"/>
          <w:szCs w:val="32"/>
          <w14:textFill>
            <w14:solidFill>
              <w14:schemeClr w14:val="tx1"/>
            </w14:solidFill>
          </w14:textFill>
        </w:rPr>
        <w:t>法人</w:t>
      </w:r>
      <w:r>
        <w:rPr>
          <w:rFonts w:hint="eastAsia" w:ascii="仿宋" w:hAnsi="仿宋" w:eastAsia="仿宋" w:cs="仿宋"/>
          <w:color w:val="000000" w:themeColor="text1"/>
          <w:sz w:val="32"/>
          <w14:textFill>
            <w14:solidFill>
              <w14:schemeClr w14:val="tx1"/>
            </w14:solidFill>
          </w14:textFill>
        </w:rPr>
        <w:t>下已有状态为“正常”的登记记录，可以直接使用原登记信息办理业务，如信息已发生变更，则可在原记录基础上进行修改。</w:t>
      </w:r>
    </w:p>
    <w:p>
      <w:pPr>
        <w:tabs>
          <w:tab w:val="left" w:pos="312"/>
        </w:tabs>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6.票据经纪机构通过“登记机构参数”控制其内部信息登记机构和询价机构之间的对应关系。</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bookmarkStart w:id="913" w:name="_Toc69659121"/>
      <w:bookmarkStart w:id="914" w:name="_Toc27020"/>
      <w:bookmarkStart w:id="915" w:name="_Toc609"/>
      <w:bookmarkStart w:id="916" w:name="_Toc90541427"/>
      <w:bookmarkStart w:id="917" w:name="_Toc6110"/>
      <w:bookmarkStart w:id="918" w:name="_Toc1727"/>
      <w:bookmarkStart w:id="919" w:name="_Toc10448"/>
      <w:bookmarkStart w:id="920" w:name="_Toc29007"/>
      <w:bookmarkStart w:id="921" w:name="_Toc7376"/>
      <w:bookmarkStart w:id="922" w:name="_Toc20456"/>
      <w:bookmarkStart w:id="923" w:name="_Toc6266"/>
      <w:bookmarkStart w:id="924" w:name="_Toc7753"/>
      <w:bookmarkStart w:id="925" w:name="_Toc23876"/>
      <w:bookmarkStart w:id="926" w:name="_Toc458"/>
      <w:bookmarkStart w:id="927" w:name="_Toc6373"/>
      <w:bookmarkStart w:id="928" w:name="_Toc14289"/>
      <w:bookmarkStart w:id="929" w:name="_Toc11026"/>
      <w:bookmarkStart w:id="930" w:name="_Toc15027"/>
      <w:bookmarkStart w:id="931" w:name="_Toc5077"/>
      <w:bookmarkStart w:id="932" w:name="_Toc8433"/>
      <w:bookmarkStart w:id="933" w:name="_Toc17903"/>
      <w:bookmarkStart w:id="934" w:name="_Toc26175"/>
      <w:bookmarkStart w:id="935" w:name="_Toc24785"/>
      <w:bookmarkStart w:id="936" w:name="_Toc11249"/>
      <w:bookmarkStart w:id="937" w:name="_Toc4211"/>
      <w:bookmarkStart w:id="938" w:name="_Toc8677"/>
      <w:bookmarkStart w:id="939" w:name="_Toc18512"/>
      <w:bookmarkStart w:id="940" w:name="_Toc22491"/>
      <w:bookmarkStart w:id="941" w:name="_Toc17898"/>
      <w:bookmarkStart w:id="942" w:name="_Toc10297"/>
      <w:r>
        <w:rPr>
          <w:rFonts w:hint="eastAsia" w:ascii="仿宋" w:hAnsi="仿宋" w:eastAsia="仿宋" w:cs="仿宋"/>
          <w:color w:val="000000" w:themeColor="text1"/>
          <w:sz w:val="32"/>
          <w14:textFill>
            <w14:solidFill>
              <w14:schemeClr w14:val="tx1"/>
            </w14:solidFill>
          </w14:textFill>
        </w:rPr>
        <w:t>1.信息登记人</w:t>
      </w:r>
      <w:r>
        <w:rPr>
          <w:rFonts w:hint="eastAsia" w:ascii="仿宋" w:hAnsi="仿宋" w:eastAsia="仿宋" w:cs="仿宋"/>
          <w:color w:val="000000" w:themeColor="text1"/>
          <w:sz w:val="32"/>
          <w:szCs w:val="32"/>
          <w14:textFill>
            <w14:solidFill>
              <w14:schemeClr w14:val="tx1"/>
            </w14:solidFill>
          </w14:textFill>
        </w:rPr>
        <w:t>（贴现申请人</w:t>
      </w:r>
      <w:r>
        <w:rPr>
          <w:rFonts w:hint="eastAsia" w:ascii="仿宋" w:hAnsi="仿宋" w:eastAsia="仿宋" w:cs="仿宋"/>
          <w:sz w:val="32"/>
          <w:szCs w:val="32"/>
        </w:rPr>
        <w:t>或经其授权的票据经纪机构</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14:textFill>
            <w14:solidFill>
              <w14:schemeClr w14:val="tx1"/>
            </w14:solidFill>
          </w14:textFill>
        </w:rPr>
        <w:t>向票交所发送贴现申请人信息登记申请。需提供的要素信息主要包括：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（1）贴现申请人基本信息（名称、统一社会信用代码、省份、行业分类、规模等）；</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（2）其他信息（开票信息、股东信息等信息登记人根据业务需要提供的信息）；</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（3）附件（附件类型、附件批次号、处理类型），附件类型包括营业执照、法定代表人、财务报表、授权经办人、贴现申请人授权承诺书、其他，处理类型包括新增、删除。</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2.票交所返回登记结果。</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3.票交所对登记信息记录入库，以备后续签约等场景调用。</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4.贴现申请人信息登记完成后，信息登记人可以查询、修改或删除已登记信息。</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943" w:name="_Toc2139786706"/>
      <w:bookmarkStart w:id="944" w:name="_Toc27114"/>
      <w:bookmarkStart w:id="945" w:name="_Toc23244"/>
      <w:bookmarkStart w:id="946" w:name="_Toc22759"/>
      <w:bookmarkStart w:id="947" w:name="_Toc32666"/>
      <w:bookmarkStart w:id="948" w:name="_Toc11410"/>
      <w:bookmarkStart w:id="949" w:name="_Toc10246"/>
      <w:bookmarkStart w:id="950" w:name="_Toc17100"/>
      <w:bookmarkStart w:id="951" w:name="_Toc5340"/>
      <w:bookmarkStart w:id="952" w:name="_Toc10533"/>
      <w:bookmarkStart w:id="953" w:name="_Toc32740"/>
      <w:bookmarkStart w:id="954" w:name="_Toc7408"/>
      <w:bookmarkStart w:id="955" w:name="_Toc1361"/>
      <w:bookmarkStart w:id="956" w:name="_Toc24319"/>
      <w:r>
        <w:rPr>
          <w:rFonts w:hint="eastAsia" w:ascii="仿宋" w:hAnsi="仿宋" w:eastAsia="仿宋" w:cs="仿宋"/>
          <w:b/>
          <w:color w:val="000000" w:themeColor="text1"/>
          <w:sz w:val="32"/>
          <w14:textFill>
            <w14:solidFill>
              <w14:schemeClr w14:val="tx1"/>
            </w14:solidFill>
          </w14:textFill>
        </w:rPr>
        <w:t>4.3 企业签约</w:t>
      </w:r>
      <w:bookmarkEnd w:id="913"/>
      <w:bookmarkEnd w:id="914"/>
      <w:bookmarkEnd w:id="915"/>
      <w:bookmarkEnd w:id="916"/>
      <w:bookmarkEnd w:id="917"/>
      <w:bookmarkEnd w:id="918"/>
      <w:bookmarkEnd w:id="919"/>
      <w:bookmarkEnd w:id="920"/>
      <w:bookmarkEnd w:id="921"/>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spacing w:line="590" w:lineRule="exact"/>
        <w:ind w:firstLine="643" w:firstLineChars="200"/>
        <w:outlineLvl w:val="2"/>
        <w:rPr>
          <w:rFonts w:ascii="仿宋" w:hAnsi="仿宋" w:eastAsia="仿宋" w:cs="仿宋"/>
          <w:b/>
          <w:color w:val="000000" w:themeColor="text1"/>
          <w:sz w:val="32"/>
          <w14:textFill>
            <w14:solidFill>
              <w14:schemeClr w14:val="tx1"/>
            </w14:solidFill>
          </w14:textFill>
        </w:rPr>
      </w:pPr>
      <w:bookmarkStart w:id="957" w:name="_Toc11950"/>
      <w:bookmarkStart w:id="958" w:name="_Toc9843"/>
      <w:bookmarkStart w:id="959" w:name="_Toc27211"/>
      <w:bookmarkStart w:id="960" w:name="_Toc69659122"/>
      <w:bookmarkStart w:id="961" w:name="_Toc17717"/>
      <w:bookmarkStart w:id="962" w:name="_Toc20562"/>
      <w:bookmarkStart w:id="963" w:name="_Toc871752713"/>
      <w:bookmarkStart w:id="964" w:name="_Toc90541428"/>
      <w:bookmarkStart w:id="965" w:name="_Toc19725"/>
      <w:bookmarkStart w:id="966" w:name="_Toc31299"/>
      <w:bookmarkStart w:id="967" w:name="_Toc3453"/>
      <w:r>
        <w:rPr>
          <w:rFonts w:hint="eastAsia" w:ascii="仿宋" w:hAnsi="仿宋" w:eastAsia="仿宋" w:cs="仿宋"/>
          <w:b/>
          <w:color w:val="000000" w:themeColor="text1"/>
          <w:sz w:val="32"/>
          <w14:textFill>
            <w14:solidFill>
              <w14:schemeClr w14:val="tx1"/>
            </w14:solidFill>
          </w14:textFill>
        </w:rPr>
        <w:t>4.3.1 签约</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57"/>
      <w:bookmarkEnd w:id="958"/>
      <w:bookmarkEnd w:id="959"/>
      <w:bookmarkEnd w:id="960"/>
      <w:bookmarkEnd w:id="961"/>
      <w:bookmarkEnd w:id="962"/>
      <w:r>
        <w:rPr>
          <w:rFonts w:hint="eastAsia" w:ascii="仿宋" w:hAnsi="仿宋" w:eastAsia="仿宋" w:cs="仿宋"/>
          <w:b/>
          <w:color w:val="000000" w:themeColor="text1"/>
          <w:sz w:val="32"/>
          <w14:textFill>
            <w14:solidFill>
              <w14:schemeClr w14:val="tx1"/>
            </w14:solidFill>
          </w14:textFill>
        </w:rPr>
        <w:t>需求登记</w:t>
      </w:r>
      <w:bookmarkEnd w:id="963"/>
      <w:bookmarkEnd w:id="964"/>
      <w:bookmarkEnd w:id="965"/>
      <w:bookmarkEnd w:id="966"/>
      <w:bookmarkEnd w:id="967"/>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贴入人将签约所需材料清单、相关要求等登记至票交所，</w:t>
      </w:r>
      <w:r>
        <w:rPr>
          <w:rFonts w:hint="eastAsia" w:ascii="仿宋" w:hAnsi="仿宋" w:eastAsia="仿宋" w:cs="仿宋"/>
          <w:sz w:val="32"/>
          <w:szCs w:val="32"/>
        </w:rPr>
        <w:t>通过票据经纪机构、供应链平台展示给企业</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0" w:firstLineChars="200"/>
        <w:rPr>
          <w:rFonts w:ascii="仿宋" w:hAnsi="仿宋" w:eastAsia="仿宋" w:cs="仿宋"/>
          <w:color w:val="000000"/>
          <w:sz w:val="32"/>
          <w:szCs w:val="32"/>
        </w:rPr>
      </w:pPr>
      <w:r>
        <w:rPr>
          <w:rFonts w:hint="eastAsia" w:ascii="仿宋" w:hAnsi="仿宋" w:eastAsia="仿宋" w:cs="仿宋"/>
          <w:sz w:val="32"/>
          <w:szCs w:val="32"/>
        </w:rPr>
        <w:t>1.贴入人一级机构管理员在票据业务系统客户端登记签约所需材料清单、相关要求（如对贴现申请人的地域要求、经营年限要求、贴现发票申领方式等），选择发送范围。登记路径为：机构管理-&gt;线上贴现管理-&gt;贴现机构签约管理。</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2.票交所将相关签约要求，</w:t>
      </w:r>
      <w:r>
        <w:rPr>
          <w:rFonts w:hint="eastAsia" w:ascii="仿宋" w:hAnsi="仿宋" w:eastAsia="仿宋" w:cs="仿宋"/>
          <w:sz w:val="32"/>
          <w:szCs w:val="32"/>
        </w:rPr>
        <w:t>通过票据经纪机构、供应链平台展示</w:t>
      </w:r>
      <w:r>
        <w:rPr>
          <w:rFonts w:ascii="仿宋" w:hAnsi="仿宋" w:eastAsia="仿宋" w:cs="仿宋"/>
          <w:sz w:val="32"/>
          <w:szCs w:val="32"/>
        </w:rPr>
        <w:t>给企业</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bookmarkStart w:id="968" w:name="_Toc14592"/>
      <w:bookmarkStart w:id="969" w:name="_Toc24820"/>
      <w:bookmarkStart w:id="970" w:name="_Toc1994"/>
      <w:bookmarkStart w:id="971" w:name="_Toc7711"/>
      <w:bookmarkStart w:id="972" w:name="_Toc27884"/>
      <w:bookmarkStart w:id="973" w:name="_Toc140"/>
      <w:bookmarkStart w:id="974" w:name="_Toc857"/>
      <w:bookmarkStart w:id="975" w:name="_Toc11240"/>
      <w:bookmarkStart w:id="976" w:name="_Toc69659123"/>
      <w:bookmarkStart w:id="977" w:name="_Toc25393"/>
      <w:bookmarkStart w:id="978" w:name="_Toc7349"/>
      <w:bookmarkStart w:id="979" w:name="_Toc13903"/>
      <w:bookmarkStart w:id="980" w:name="_Toc26024"/>
      <w:bookmarkStart w:id="981" w:name="_Toc4634"/>
      <w:bookmarkStart w:id="982" w:name="_Toc7077"/>
      <w:bookmarkStart w:id="983" w:name="_Toc12314"/>
      <w:bookmarkStart w:id="984" w:name="_Toc28376"/>
      <w:bookmarkStart w:id="985" w:name="_Toc2876"/>
      <w:bookmarkStart w:id="986" w:name="_Toc13804"/>
      <w:bookmarkStart w:id="987" w:name="_Toc1507"/>
      <w:bookmarkStart w:id="988" w:name="_Toc3097"/>
      <w:bookmarkStart w:id="989" w:name="_Toc18048"/>
      <w:bookmarkStart w:id="990" w:name="_Toc11860"/>
      <w:bookmarkStart w:id="991" w:name="_Toc1986"/>
      <w:bookmarkStart w:id="992" w:name="_Toc8510"/>
      <w:bookmarkStart w:id="993" w:name="_Toc30445"/>
      <w:bookmarkStart w:id="994" w:name="_Toc22188"/>
      <w:bookmarkStart w:id="995" w:name="_Toc90541429"/>
      <w:r>
        <w:rPr>
          <w:rFonts w:hint="eastAsia" w:ascii="仿宋" w:hAnsi="仿宋" w:eastAsia="仿宋" w:cs="仿宋"/>
          <w:b/>
          <w:color w:val="000000" w:themeColor="text1"/>
          <w:sz w:val="32"/>
          <w14:textFill>
            <w14:solidFill>
              <w14:schemeClr w14:val="tx1"/>
            </w14:solidFill>
          </w14:textFill>
        </w:rPr>
        <w:t>[业务规则]</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1.贴现申请人通过票据经纪机构办理业务的，贴现申请人《授权承诺书》（</w:t>
      </w:r>
      <w:r>
        <w:rPr>
          <w:rFonts w:hint="eastAsia" w:ascii="仿宋" w:hAnsi="仿宋" w:eastAsia="仿宋" w:cs="仿宋"/>
          <w:color w:val="000000" w:themeColor="text1"/>
          <w:sz w:val="32"/>
          <w:lang w:eastAsia="zh-CN"/>
          <w14:textFill>
            <w14:solidFill>
              <w14:schemeClr w14:val="tx1"/>
            </w14:solidFill>
          </w14:textFill>
        </w:rPr>
        <w:t>附件12</w:t>
      </w:r>
      <w:r>
        <w:rPr>
          <w:rFonts w:hint="eastAsia" w:ascii="仿宋" w:hAnsi="仿宋" w:eastAsia="仿宋" w:cs="仿宋"/>
          <w:color w:val="000000" w:themeColor="text1"/>
          <w:sz w:val="32"/>
          <w14:textFill>
            <w14:solidFill>
              <w14:schemeClr w14:val="tx1"/>
            </w14:solidFill>
          </w14:textFill>
        </w:rPr>
        <w:t>）、意向成交单、《上海票据交易所贴现通业务操作规程（试行）》、本指南构成贴现申请人和贴现机构间的贴现合同</w:t>
      </w:r>
      <w:r>
        <w:rPr>
          <w:rStyle w:val="25"/>
          <w:rFonts w:hint="eastAsia" w:ascii="仿宋" w:hAnsi="仿宋" w:eastAsia="仿宋" w:cs="仿宋"/>
          <w:color w:val="000000" w:themeColor="text1"/>
          <w:sz w:val="32"/>
          <w14:textFill>
            <w14:solidFill>
              <w14:schemeClr w14:val="tx1"/>
            </w14:solidFill>
          </w14:textFill>
        </w:rPr>
        <w:footnoteReference w:id="4"/>
      </w:r>
      <w:r>
        <w:rPr>
          <w:rFonts w:hint="eastAsia" w:ascii="仿宋" w:hAnsi="仿宋" w:eastAsia="仿宋" w:cs="仿宋"/>
          <w:color w:val="000000" w:themeColor="text1"/>
          <w:sz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贴现申请人通过供应链平台办理业务的，贴现申请人《授权承诺书》（</w:t>
      </w:r>
      <w:r>
        <w:rPr>
          <w:rFonts w:hint="eastAsia" w:ascii="仿宋" w:hAnsi="仿宋" w:eastAsia="仿宋" w:cs="仿宋"/>
          <w:color w:val="000000" w:themeColor="text1"/>
          <w:sz w:val="32"/>
          <w:lang w:eastAsia="zh-CN"/>
          <w14:textFill>
            <w14:solidFill>
              <w14:schemeClr w14:val="tx1"/>
            </w14:solidFill>
          </w14:textFill>
        </w:rPr>
        <w:t>附件13</w:t>
      </w:r>
      <w:r>
        <w:rPr>
          <w:rFonts w:hint="eastAsia" w:ascii="仿宋" w:hAnsi="仿宋" w:eastAsia="仿宋" w:cs="仿宋"/>
          <w:color w:val="000000" w:themeColor="text1"/>
          <w:sz w:val="32"/>
          <w14:textFill>
            <w14:solidFill>
              <w14:schemeClr w14:val="tx1"/>
            </w14:solidFill>
          </w14:textFill>
        </w:rPr>
        <w:t>）、意向成交单、本指南构成贴现申请人和贴现机构间的贴现合同。</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2.贴现成交后，票交所生成意向成交单</w:t>
      </w:r>
      <w:r>
        <w:rPr>
          <w:rStyle w:val="25"/>
          <w:rFonts w:hint="eastAsia" w:ascii="仿宋" w:hAnsi="仿宋" w:eastAsia="仿宋" w:cs="仿宋"/>
          <w:color w:val="000000" w:themeColor="text1"/>
          <w:sz w:val="32"/>
          <w14:textFill>
            <w14:solidFill>
              <w14:schemeClr w14:val="tx1"/>
            </w14:solidFill>
          </w14:textFill>
        </w:rPr>
        <w:footnoteReference w:id="5"/>
      </w:r>
      <w:r>
        <w:rPr>
          <w:rFonts w:hint="eastAsia" w:ascii="仿宋" w:hAnsi="仿宋" w:eastAsia="仿宋" w:cs="仿宋"/>
          <w:color w:val="000000" w:themeColor="text1"/>
          <w:sz w:val="32"/>
          <w14:textFill>
            <w14:solidFill>
              <w14:schemeClr w14:val="tx1"/>
            </w14:solidFill>
          </w14:textFill>
        </w:rPr>
        <w:t>。意向成交单上载有贴现申请人与贴现机构就贴现成交要素达成一致的约定和其他必要内容，并附票据清单。</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意向成交单载有以下内容：意向成交时间、意向成交单编号；贴入方信息、贴出方信息；资金入账账户信息；票据（包）总额、票据（包）张数、贴现利率、应付利息、结算金额、结算日、结算方式等。</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14:textFill>
            <w14:solidFill>
              <w14:schemeClr w14:val="tx1"/>
            </w14:solidFill>
          </w14:textFill>
        </w:rPr>
        <w:t>贴入人确有特别要求的，可以通过“签约需求登记”功能登记补充协议，补充协议应明确约定与标准合同的优先适用顺序。</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贴入人和贴现申请人应自主审查补充协议内容，审慎选择合同签署方式，并自行承担有关法律后果。票交所不对双方上传补充协议的内容、签章和签署方式等事项的有效性做出保证，也不对此承担任何责任。</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4.票据经纪机构、供应链平台应当及时、清晰、准确、完整地向贴现申请人展示各贴入人的签约要求。</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2"/>
        <w:rPr>
          <w:rFonts w:ascii="仿宋" w:hAnsi="仿宋" w:eastAsia="仿宋" w:cs="仿宋"/>
          <w:b/>
          <w:color w:val="000000" w:themeColor="text1"/>
          <w:sz w:val="32"/>
          <w14:textFill>
            <w14:solidFill>
              <w14:schemeClr w14:val="tx1"/>
            </w14:solidFill>
          </w14:textFill>
        </w:rPr>
      </w:pPr>
      <w:bookmarkStart w:id="996" w:name="_Toc30702"/>
      <w:bookmarkStart w:id="997" w:name="_Toc6991"/>
      <w:bookmarkStart w:id="998" w:name="_Toc2248"/>
      <w:bookmarkStart w:id="999" w:name="_Toc1539516832"/>
      <w:r>
        <w:rPr>
          <w:rFonts w:hint="eastAsia" w:ascii="仿宋" w:hAnsi="仿宋" w:eastAsia="仿宋" w:cs="仿宋"/>
          <w:b/>
          <w:color w:val="000000" w:themeColor="text1"/>
          <w:sz w:val="32"/>
          <w14:textFill>
            <w14:solidFill>
              <w14:schemeClr w14:val="tx1"/>
            </w14:solidFill>
          </w14:textFill>
        </w:rPr>
        <w:t xml:space="preserve">4.3.2 </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Pr>
          <w:rFonts w:hint="eastAsia" w:ascii="仿宋" w:hAnsi="仿宋" w:eastAsia="仿宋" w:cs="仿宋"/>
          <w:b/>
          <w:color w:val="000000" w:themeColor="text1"/>
          <w:sz w:val="32"/>
          <w14:textFill>
            <w14:solidFill>
              <w14:schemeClr w14:val="tx1"/>
            </w14:solidFill>
          </w14:textFill>
        </w:rPr>
        <w:t>签约</w:t>
      </w:r>
      <w:bookmarkEnd w:id="995"/>
      <w:bookmarkEnd w:id="996"/>
      <w:bookmarkEnd w:id="997"/>
      <w:bookmarkEnd w:id="998"/>
      <w:bookmarkEnd w:id="999"/>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贴现申请人选择贴入人，提交相应材料，贴入人对企业资质进行审核后，完成贴现业务准入</w:t>
      </w:r>
      <w:r>
        <w:rPr>
          <w:rFonts w:hint="eastAsia" w:ascii="仿宋" w:hAnsi="仿宋" w:eastAsia="仿宋" w:cs="仿宋"/>
          <w:color w:val="000000" w:themeColor="text1"/>
          <w:sz w:val="32"/>
          <w:szCs w:val="32"/>
          <w14:textFill>
            <w14:solidFill>
              <w14:schemeClr w14:val="tx1"/>
            </w14:solidFill>
          </w14:textFill>
        </w:rPr>
        <w:t>和签约</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1.贴现申请人根据贴现机构签约要求，上传相应材料，发起签约申请。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2.票据经纪机构、供应链平台根据</w:t>
      </w:r>
      <w:r>
        <w:rPr>
          <w:rFonts w:hint="eastAsia" w:ascii="仿宋" w:hAnsi="仿宋" w:eastAsia="仿宋" w:cs="仿宋"/>
          <w:sz w:val="32"/>
          <w:szCs w:val="32"/>
        </w:rPr>
        <w:t>贴现申请人申请，向票交所发送申请。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 xml:space="preserve">3.票交所将签约申请转发给贴现机构，同时向贴入人发送贴现申请人明细信息。 </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4.贴入人对贴现申请人资质进行审核，将应答结果反馈给票交所（贴入人可以在15个工作日内进行应答，贴入人在截至日期日终未应答的，票交所自动清退待应答的签约申请，并通知贴现申请人和贴入人）。</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5.票交所将贴入人应答结果</w:t>
      </w:r>
      <w:r>
        <w:rPr>
          <w:rFonts w:hint="eastAsia" w:ascii="仿宋" w:hAnsi="仿宋" w:eastAsia="仿宋" w:cs="仿宋"/>
          <w:sz w:val="32"/>
          <w:szCs w:val="32"/>
        </w:rPr>
        <w:t>通过票据经纪机构、供应链平台转发给</w:t>
      </w:r>
      <w:r>
        <w:rPr>
          <w:rFonts w:hint="eastAsia" w:ascii="仿宋" w:hAnsi="仿宋" w:eastAsia="仿宋" w:cs="仿宋"/>
          <w:color w:val="000000" w:themeColor="text1"/>
          <w:sz w:val="32"/>
          <w14:textFill>
            <w14:solidFill>
              <w14:schemeClr w14:val="tx1"/>
            </w14:solidFill>
          </w14:textFill>
        </w:rPr>
        <w:t>贴现申请人。</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6.签约发起后，贴现申请人可通过票据经纪机构、</w:t>
      </w:r>
      <w:r>
        <w:rPr>
          <w:rFonts w:hint="eastAsia" w:ascii="仿宋" w:hAnsi="仿宋" w:eastAsia="仿宋" w:cs="仿宋"/>
          <w:sz w:val="32"/>
          <w:szCs w:val="32"/>
        </w:rPr>
        <w:t>供应链平台向贴</w:t>
      </w:r>
      <w:r>
        <w:rPr>
          <w:rFonts w:hint="eastAsia" w:ascii="仿宋" w:hAnsi="仿宋" w:eastAsia="仿宋" w:cs="仿宋"/>
          <w:color w:val="000000" w:themeColor="text1"/>
          <w:sz w:val="32"/>
          <w14:textFill>
            <w14:solidFill>
              <w14:schemeClr w14:val="tx1"/>
            </w14:solidFill>
          </w14:textFill>
        </w:rPr>
        <w:t>入人</w:t>
      </w:r>
      <w:r>
        <w:rPr>
          <w:rFonts w:hint="eastAsia" w:ascii="仿宋" w:hAnsi="仿宋" w:eastAsia="仿宋" w:cs="仿宋"/>
          <w:sz w:val="32"/>
          <w:szCs w:val="32"/>
        </w:rPr>
        <w:t>查询签约结果、签约有效期、贴现额度等</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7.贴入人提前终止贴现协议、调整贴现额度的，应当及时报送票交所。</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[业务规则]</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1.贴入人应当根据贴现申请人提供的信息资料，自行、审慎判断贴现申请人资质和业务申请合理性，决定是否为贴现申请人提供贴现服务，</w:t>
      </w:r>
      <w:r>
        <w:rPr>
          <w:rFonts w:hint="eastAsia" w:ascii="仿宋" w:hAnsi="仿宋" w:eastAsia="仿宋" w:cs="仿宋"/>
          <w:color w:val="000000" w:themeColor="text1"/>
          <w:sz w:val="32"/>
          <w:szCs w:val="32"/>
          <w14:textFill>
            <w14:solidFill>
              <w14:schemeClr w14:val="tx1"/>
            </w14:solidFill>
          </w14:textFill>
        </w:rPr>
        <w:t>并</w:t>
      </w:r>
      <w:r>
        <w:rPr>
          <w:rFonts w:hint="eastAsia" w:ascii="仿宋" w:hAnsi="仿宋" w:eastAsia="仿宋" w:cs="仿宋"/>
          <w:color w:val="000000" w:themeColor="text1"/>
          <w:sz w:val="32"/>
          <w14:textFill>
            <w14:solidFill>
              <w14:schemeClr w14:val="tx1"/>
            </w14:solidFill>
          </w14:textFill>
        </w:rPr>
        <w:t>承担相关业务风险。</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2.票据经纪机构、供应链平台、贴入人应当对贴现申请人相关信息承担保密义务，未经授权不得向第三方泄露或公开披露，国家法律法规、金融管理部门、司法机关、票交所要求披露的除外。</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3.贴现申请人信息登记已完成</w:t>
      </w:r>
      <w:r>
        <w:rPr>
          <w:rFonts w:hint="eastAsia" w:ascii="仿宋" w:hAnsi="仿宋" w:eastAsia="仿宋" w:cs="仿宋"/>
          <w:color w:val="000000" w:themeColor="text1"/>
          <w:sz w:val="32"/>
          <w:szCs w:val="32"/>
          <w14:textFill>
            <w14:solidFill>
              <w14:schemeClr w14:val="tx1"/>
            </w14:solidFill>
          </w14:textFill>
        </w:rPr>
        <w:t>且</w:t>
      </w:r>
      <w:r>
        <w:rPr>
          <w:rFonts w:hint="eastAsia" w:ascii="仿宋" w:hAnsi="仿宋" w:eastAsia="仿宋" w:cs="仿宋"/>
          <w:color w:val="000000" w:themeColor="text1"/>
          <w:sz w:val="32"/>
          <w14:textFill>
            <w14:solidFill>
              <w14:schemeClr w14:val="tx1"/>
            </w14:solidFill>
          </w14:textFill>
        </w:rPr>
        <w:t>状态为“正常”的，才能发起签约申请。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1000" w:name="_Toc23363"/>
      <w:bookmarkStart w:id="1001" w:name="_Toc19945"/>
      <w:bookmarkStart w:id="1002" w:name="_Toc25927"/>
      <w:bookmarkStart w:id="1003" w:name="_Toc69659120"/>
      <w:bookmarkStart w:id="1004" w:name="_Toc8347"/>
      <w:bookmarkStart w:id="1005" w:name="_Toc4190"/>
      <w:bookmarkStart w:id="1006" w:name="_Toc90541430"/>
      <w:bookmarkStart w:id="1007" w:name="_Toc1953"/>
      <w:bookmarkStart w:id="1008" w:name="_Toc30399"/>
      <w:bookmarkStart w:id="1009" w:name="_Toc6701"/>
      <w:bookmarkStart w:id="1010" w:name="_Toc261280957"/>
      <w:bookmarkStart w:id="1011" w:name="_Toc7004"/>
      <w:bookmarkStart w:id="1012" w:name="_Toc18078"/>
      <w:bookmarkStart w:id="1013" w:name="_Toc18741"/>
      <w:bookmarkStart w:id="1014" w:name="_Toc4575"/>
      <w:bookmarkStart w:id="1015" w:name="_Toc7393"/>
      <w:bookmarkStart w:id="1016" w:name="_Toc25830"/>
      <w:bookmarkStart w:id="1017" w:name="_Toc25939"/>
      <w:bookmarkStart w:id="1018" w:name="_Toc1845"/>
      <w:bookmarkStart w:id="1019" w:name="_Toc5053"/>
      <w:bookmarkStart w:id="1020" w:name="_Toc14962"/>
      <w:r>
        <w:rPr>
          <w:rFonts w:hint="eastAsia" w:ascii="仿宋" w:hAnsi="仿宋" w:eastAsia="仿宋" w:cs="仿宋"/>
          <w:b/>
          <w:color w:val="000000" w:themeColor="text1"/>
          <w:sz w:val="32"/>
          <w14:textFill>
            <w14:solidFill>
              <w14:schemeClr w14:val="tx1"/>
            </w14:solidFill>
          </w14:textFill>
        </w:rPr>
        <w:t>4.4 委托信息</w:t>
      </w:r>
      <w:bookmarkEnd w:id="910"/>
      <w:bookmarkEnd w:id="911"/>
      <w:bookmarkEnd w:id="912"/>
      <w:bookmarkEnd w:id="1000"/>
      <w:bookmarkEnd w:id="1001"/>
      <w:bookmarkEnd w:id="1002"/>
      <w:bookmarkEnd w:id="1003"/>
      <w:bookmarkEnd w:id="1004"/>
      <w:bookmarkEnd w:id="1005"/>
      <w:r>
        <w:rPr>
          <w:rFonts w:hint="eastAsia" w:ascii="仿宋" w:hAnsi="仿宋" w:eastAsia="仿宋" w:cs="仿宋"/>
          <w:b/>
          <w:color w:val="000000" w:themeColor="text1"/>
          <w:sz w:val="32"/>
          <w14:textFill>
            <w14:solidFill>
              <w14:schemeClr w14:val="tx1"/>
            </w14:solidFill>
          </w14:textFill>
        </w:rPr>
        <w:t>登记</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tabs>
          <w:tab w:val="left" w:pos="4935"/>
        </w:tabs>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r>
        <w:rPr>
          <w:rFonts w:hint="eastAsia" w:ascii="仿宋" w:hAnsi="仿宋" w:eastAsia="仿宋" w:cs="仿宋"/>
          <w:b/>
          <w:color w:val="000000" w:themeColor="text1"/>
          <w:sz w:val="32"/>
          <w14:textFill>
            <w14:solidFill>
              <w14:schemeClr w14:val="tx1"/>
            </w14:solidFill>
          </w14:textFill>
        </w:rPr>
        <w:tab/>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对于ECDS电票，票据经纪机构应当在接受贴现申请人委托后，将委托利率要求、委托询价有效期等登记至票交所。</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[业务规则]</w:t>
      </w:r>
    </w:p>
    <w:p>
      <w:pPr>
        <w:numPr>
          <w:ilvl w:val="0"/>
          <w:numId w:val="18"/>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已完成提示收票且未记载“不得转让”标记的票据，可以办理委托信息登记。</w:t>
      </w:r>
    </w:p>
    <w:p>
      <w:pPr>
        <w:numPr>
          <w:ilvl w:val="0"/>
          <w:numId w:val="18"/>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票据未通过其他票据经纪机构办理委托登记（不含已解除委托）。</w:t>
      </w:r>
    </w:p>
    <w:p>
      <w:pPr>
        <w:tabs>
          <w:tab w:val="left" w:pos="312"/>
        </w:tabs>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3.企业通过票据经纪机构办理ECDS电票询价前，需进行委托信息登记。其他业务无需进行委托信息登记。</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 xml:space="preserve">[业务流程] </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1.贴现申请人挑选拟贴现票据，委托给票据经纪机构代为询价，明确委托利率上限、委托询价有效期。</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2.票据经纪机构向票交所发送委托信息登记申请。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3.票交所向票据经纪机构反馈处理结果。</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1021" w:name="_Toc15625"/>
      <w:bookmarkStart w:id="1022" w:name="_Toc10638"/>
      <w:bookmarkStart w:id="1023" w:name="_Toc18933"/>
      <w:bookmarkStart w:id="1024" w:name="_Toc4418"/>
      <w:bookmarkStart w:id="1025" w:name="_Toc2626"/>
      <w:bookmarkStart w:id="1026" w:name="_Toc90541431"/>
      <w:bookmarkStart w:id="1027" w:name="_Toc10847"/>
      <w:bookmarkStart w:id="1028" w:name="_Toc12534"/>
      <w:bookmarkStart w:id="1029" w:name="_Toc6116"/>
      <w:bookmarkStart w:id="1030" w:name="_Toc25962"/>
      <w:bookmarkStart w:id="1031" w:name="_Toc29525"/>
      <w:bookmarkStart w:id="1032" w:name="_Toc4901"/>
      <w:bookmarkStart w:id="1033" w:name="_Toc22376"/>
      <w:bookmarkStart w:id="1034" w:name="_Toc17574"/>
      <w:bookmarkStart w:id="1035" w:name="_Toc25496"/>
      <w:bookmarkStart w:id="1036" w:name="_Toc1332574567"/>
      <w:r>
        <w:rPr>
          <w:rFonts w:hint="eastAsia" w:ascii="仿宋" w:hAnsi="仿宋" w:eastAsia="仿宋" w:cs="仿宋"/>
          <w:b/>
          <w:color w:val="000000" w:themeColor="text1"/>
          <w:sz w:val="32"/>
          <w14:textFill>
            <w14:solidFill>
              <w14:schemeClr w14:val="tx1"/>
            </w14:solidFill>
          </w14:textFill>
        </w:rPr>
        <w:t>4.5 询价</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贴现申请人与贴入人通过意向询价、挂牌询价、对话报价等方式进行贴现询价。</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sz w:val="32"/>
          <w:szCs w:val="32"/>
        </w:rPr>
        <w:t>已完成提示收票且未记载“不得转让”标记的票据，可以办理线上贴现。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bCs/>
          <w:color w:val="000000"/>
          <w:sz w:val="32"/>
          <w:szCs w:val="32"/>
        </w:rPr>
        <w:t>.</w:t>
      </w:r>
      <w:r>
        <w:rPr>
          <w:rFonts w:hint="eastAsia" w:ascii="仿宋" w:hAnsi="仿宋" w:eastAsia="仿宋" w:cs="仿宋"/>
          <w:sz w:val="32"/>
          <w:szCs w:val="32"/>
        </w:rPr>
        <w:t>票据风险状态应为“非风险票据”。</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3.</w:t>
      </w:r>
      <w:r>
        <w:rPr>
          <w:rFonts w:hint="eastAsia" w:ascii="仿宋" w:hAnsi="仿宋" w:eastAsia="仿宋" w:cs="仿宋"/>
          <w:color w:val="000000" w:themeColor="text1"/>
          <w:sz w:val="32"/>
          <w:szCs w:val="32"/>
          <w14:textFill>
            <w14:solidFill>
              <w14:schemeClr w14:val="tx1"/>
            </w14:solidFill>
          </w14:textFill>
        </w:rPr>
        <w:t>贴现金额等于票据（包）金额</w:t>
      </w:r>
      <w:r>
        <w:rPr>
          <w:rFonts w:hint="eastAsia" w:ascii="仿宋" w:hAnsi="仿宋" w:eastAsia="仿宋" w:cs="仿宋"/>
          <w:sz w:val="32"/>
          <w:szCs w:val="32"/>
        </w:rPr>
        <w:t>。</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14:textFill>
            <w14:solidFill>
              <w14:schemeClr w14:val="tx1"/>
            </w14:solidFill>
          </w14:textFill>
        </w:rPr>
        <w:t>.贴现申请人通过供应链平台询价的，询价票据所在渠道应为该供应链平台。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贴现申请人通过票据经纪机构询价的，询价票据开户行是否与票据经纪机构属于同一</w:t>
      </w:r>
      <w:r>
        <w:rPr>
          <w:rFonts w:hint="eastAsia" w:ascii="仿宋" w:hAnsi="仿宋" w:eastAsia="仿宋" w:cs="仿宋"/>
          <w:color w:val="000000" w:themeColor="text1"/>
          <w:sz w:val="32"/>
          <w:szCs w:val="32"/>
          <w14:textFill>
            <w14:solidFill>
              <w14:schemeClr w14:val="tx1"/>
            </w14:solidFill>
          </w14:textFill>
        </w:rPr>
        <w:t>法人</w:t>
      </w:r>
      <w:r>
        <w:rPr>
          <w:rFonts w:hint="eastAsia" w:ascii="仿宋" w:hAnsi="仿宋" w:eastAsia="仿宋" w:cs="仿宋"/>
          <w:color w:val="000000" w:themeColor="text1"/>
          <w:sz w:val="32"/>
          <w14:textFill>
            <w14:solidFill>
              <w14:schemeClr w14:val="tx1"/>
            </w14:solidFill>
          </w14:textFill>
        </w:rPr>
        <w:t>，由参数“经纪机构与电票开户行是否允许跨会员”控制</w:t>
      </w:r>
      <w:r>
        <w:rPr>
          <w:rStyle w:val="25"/>
          <w:rFonts w:hint="eastAsia" w:ascii="仿宋" w:hAnsi="仿宋" w:eastAsia="仿宋" w:cs="仿宋"/>
        </w:rPr>
        <w:footnoteReference w:id="6"/>
      </w:r>
      <w:r>
        <w:rPr>
          <w:rFonts w:hint="eastAsia" w:ascii="仿宋" w:hAnsi="仿宋" w:eastAsia="仿宋" w:cs="仿宋"/>
          <w:color w:val="000000" w:themeColor="text1"/>
          <w:sz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5.线上贴现的询价日期、结算日期必须为业务当前日期，且早于票据的票面到期日。</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14:textFill>
            <w14:solidFill>
              <w14:schemeClr w14:val="tx1"/>
            </w14:solidFill>
          </w14:textFill>
        </w:rPr>
        <w:t>.</w:t>
      </w:r>
      <w:r>
        <w:rPr>
          <w:rFonts w:hint="eastAsia" w:ascii="仿宋" w:hAnsi="仿宋" w:eastAsia="仿宋" w:cs="仿宋"/>
          <w:sz w:val="32"/>
          <w:szCs w:val="32"/>
        </w:rPr>
        <w:t>交易日：交易日为每周一至周五，遇法定休假日调整除外。</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7.交易时段：每交易日9:00-16:45。</w:t>
      </w:r>
    </w:p>
    <w:p>
      <w:pPr>
        <w:numPr>
          <w:ilvl w:val="255"/>
          <w:numId w:val="0"/>
        </w:numPr>
        <w:tabs>
          <w:tab w:val="left" w:pos="1060"/>
        </w:tabs>
        <w:spacing w:line="590" w:lineRule="exact"/>
        <w:ind w:firstLine="640" w:firstLineChars="200"/>
        <w:rPr>
          <w:rFonts w:ascii="仿宋" w:hAnsi="仿宋"/>
          <w:color w:val="000000" w:themeColor="text1"/>
          <w:sz w:val="32"/>
          <w14:textFill>
            <w14:solidFill>
              <w14:schemeClr w14:val="tx1"/>
            </w14:solidFill>
          </w14:textFill>
        </w:rPr>
      </w:pPr>
      <w:r>
        <w:rPr>
          <w:rFonts w:hint="eastAsia" w:ascii="仿宋" w:hAnsi="仿宋" w:eastAsia="仿宋" w:cs="仿宋"/>
          <w:sz w:val="32"/>
          <w:szCs w:val="32"/>
        </w:rPr>
        <w:t>8.</w:t>
      </w:r>
      <w:r>
        <w:rPr>
          <w:rFonts w:hint="eastAsia" w:ascii="仿宋" w:hAnsi="仿宋" w:eastAsia="仿宋" w:cs="仿宋"/>
          <w:color w:val="000000" w:themeColor="text1"/>
          <w:sz w:val="32"/>
          <w14:textFill>
            <w14:solidFill>
              <w14:schemeClr w14:val="tx1"/>
            </w14:solidFill>
          </w14:textFill>
        </w:rPr>
        <w:t>贴现利息=票据（包）金额*贴现利率*贴现剩余天数/计息基准。</w:t>
      </w:r>
      <w:r>
        <w:rPr>
          <w:rFonts w:hint="eastAsia" w:ascii="仿宋" w:hAnsi="仿宋" w:eastAsia="仿宋" w:cs="仿宋"/>
          <w:sz w:val="32"/>
          <w:szCs w:val="32"/>
        </w:rPr>
        <w:t>其中：</w:t>
      </w:r>
    </w:p>
    <w:p>
      <w:pPr>
        <w:numPr>
          <w:ilvl w:val="255"/>
          <w:numId w:val="0"/>
        </w:num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sz w:val="32"/>
          <w:szCs w:val="32"/>
        </w:rPr>
        <w:t>计息基准为360天。</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贴现剩余天数=票据到期日</w:t>
      </w:r>
      <w:r>
        <w:rPr>
          <w:rFonts w:hint="eastAsia" w:ascii="仿宋" w:hAnsi="仿宋" w:eastAsia="仿宋" w:cs="仿宋"/>
          <w:sz w:val="32"/>
          <w:szCs w:val="32"/>
        </w:rPr>
        <w:t>（遇法定休假日、大额支付系统非营业日、票据业务系统非营业日顺延）</w:t>
      </w:r>
      <w:r>
        <w:rPr>
          <w:rFonts w:hint="eastAsia" w:ascii="仿宋" w:hAnsi="仿宋" w:eastAsia="仿宋" w:cs="仿宋"/>
          <w:color w:val="000000" w:themeColor="text1"/>
          <w:sz w:val="32"/>
          <w14:textFill>
            <w14:solidFill>
              <w14:schemeClr w14:val="tx1"/>
            </w14:solidFill>
          </w14:textFill>
        </w:rPr>
        <w:t>-结算日。</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0&lt;=贴现利率&lt;1。</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9</w:t>
      </w:r>
      <w:r>
        <w:rPr>
          <w:rFonts w:hint="eastAsia" w:ascii="仿宋" w:hAnsi="仿宋" w:eastAsia="仿宋" w:cs="仿宋"/>
          <w:color w:val="000000" w:themeColor="text1"/>
          <w:sz w:val="32"/>
          <w14:textFill>
            <w14:solidFill>
              <w14:schemeClr w14:val="tx1"/>
            </w14:solidFill>
          </w14:textFill>
        </w:rPr>
        <w:t>.结算金额</w:t>
      </w:r>
      <w:r>
        <w:rPr>
          <w:rFonts w:hint="eastAsia" w:ascii="仿宋" w:hAnsi="仿宋" w:eastAsia="仿宋" w:cs="仿宋"/>
          <w:color w:val="000000" w:themeColor="text1"/>
          <w:sz w:val="32"/>
          <w:szCs w:val="32"/>
          <w14:textFill>
            <w14:solidFill>
              <w14:schemeClr w14:val="tx1"/>
            </w14:solidFill>
          </w14:textFill>
        </w:rPr>
        <w:t>=票据（包）金额-贴现利息</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10.</w:t>
      </w:r>
      <w:r>
        <w:rPr>
          <w:rFonts w:hint="eastAsia" w:ascii="仿宋" w:hAnsi="仿宋" w:eastAsia="仿宋" w:cs="仿宋"/>
          <w:sz w:val="32"/>
          <w:szCs w:val="32"/>
        </w:rPr>
        <w:t>采用线上清算方式的</w:t>
      </w:r>
      <w:r>
        <w:rPr>
          <w:rFonts w:hint="eastAsia" w:ascii="仿宋" w:hAnsi="仿宋" w:eastAsia="仿宋" w:cs="仿宋"/>
          <w:color w:val="000000" w:themeColor="text1"/>
          <w:sz w:val="32"/>
          <w14:textFill>
            <w14:solidFill>
              <w14:schemeClr w14:val="tx1"/>
            </w14:solidFill>
          </w14:textFill>
        </w:rPr>
        <w:t>，仅支持在营业日的业务时序和清算时序内办理；</w:t>
      </w:r>
      <w:r>
        <w:rPr>
          <w:rFonts w:hint="eastAsia" w:ascii="仿宋" w:hAnsi="仿宋" w:eastAsia="仿宋" w:cs="仿宋"/>
          <w:sz w:val="32"/>
          <w:szCs w:val="32"/>
        </w:rPr>
        <w:t>采用线下清算方式的</w:t>
      </w:r>
      <w:r>
        <w:rPr>
          <w:rFonts w:hint="eastAsia" w:ascii="仿宋" w:hAnsi="仿宋" w:eastAsia="仿宋" w:cs="仿宋"/>
          <w:color w:val="000000" w:themeColor="text1"/>
          <w:sz w:val="32"/>
          <w14:textFill>
            <w14:solidFill>
              <w14:schemeClr w14:val="tx1"/>
            </w14:solidFill>
          </w14:textFill>
        </w:rPr>
        <w:t>，支持在营业日的业务时序内办理</w:t>
      </w:r>
      <w:r>
        <w:rPr>
          <w:rFonts w:hint="eastAsia" w:ascii="仿宋" w:hAnsi="仿宋" w:eastAsia="仿宋" w:cs="仿宋"/>
          <w:color w:val="000000" w:themeColor="text1"/>
          <w:sz w:val="32"/>
          <w:szCs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11.根据票据所在渠道不同，贴现申请人资金入账账户按照以下规则填写：</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color w:val="000000" w:themeColor="text1"/>
          <w:sz w:val="32"/>
          <w:szCs w:val="32"/>
          <w14:textFill>
            <w14:solidFill>
              <w14:schemeClr w14:val="tx1"/>
            </w14:solidFill>
          </w14:textFill>
        </w:rPr>
        <w:t>（1）如询价票据所在渠道为金融机构，可以使用票据所在的结算账户或贴现申请人在贴入人所属法人（包括总部及其分支机构）开立的结算账户，作为资金入账账户。</w:t>
      </w:r>
      <w:r>
        <w:rPr>
          <w:rFonts w:hint="eastAsia" w:ascii="仿宋" w:hAnsi="仿宋" w:eastAsia="仿宋" w:cs="仿宋"/>
          <w:sz w:val="32"/>
          <w:szCs w:val="32"/>
        </w:rPr>
        <w:t>结算账户应为贴现申请人在票交所备案的有效结算账户。</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（2）如询价票据所在渠道为供应链平台，可以使用该贴现申请人通过该供应链平台向票交所备案的有效结算账户，作为资金入账账户。</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（3）ECDS电票使用票据所在的结算账户，作为资金入账账户。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12</w:t>
      </w:r>
      <w:r>
        <w:rPr>
          <w:rFonts w:hint="eastAsia" w:ascii="仿宋" w:hAnsi="仿宋" w:eastAsia="仿宋" w:cs="仿宋"/>
          <w:color w:val="000000" w:themeColor="text1"/>
          <w:sz w:val="32"/>
          <w14:textFill>
            <w14:solidFill>
              <w14:schemeClr w14:val="tx1"/>
            </w14:solidFill>
          </w14:textFill>
        </w:rPr>
        <w:t>.一笔意向询价或对话报价可包含多张票据（包），</w:t>
      </w:r>
      <w:r>
        <w:rPr>
          <w:rFonts w:hint="eastAsia" w:ascii="仿宋" w:hAnsi="仿宋" w:eastAsia="仿宋" w:cs="仿宋"/>
          <w:color w:val="000000" w:themeColor="text1"/>
          <w:sz w:val="32"/>
          <w:szCs w:val="32"/>
          <w14:textFill>
            <w14:solidFill>
              <w14:schemeClr w14:val="tx1"/>
            </w14:solidFill>
          </w14:textFill>
        </w:rPr>
        <w:t>多张</w:t>
      </w:r>
      <w:r>
        <w:rPr>
          <w:rFonts w:hint="eastAsia" w:ascii="仿宋" w:hAnsi="仿宋" w:eastAsia="仿宋" w:cs="仿宋"/>
          <w:color w:val="000000" w:themeColor="text1"/>
          <w:sz w:val="32"/>
          <w14:textFill>
            <w14:solidFill>
              <w14:schemeClr w14:val="tx1"/>
            </w14:solidFill>
          </w14:textFill>
        </w:rPr>
        <w:t>票据（包）</w:t>
      </w:r>
      <w:r>
        <w:rPr>
          <w:rFonts w:hint="eastAsia" w:ascii="仿宋" w:hAnsi="仿宋" w:eastAsia="仿宋" w:cs="仿宋"/>
          <w:color w:val="000000" w:themeColor="text1"/>
          <w:sz w:val="32"/>
          <w:szCs w:val="32"/>
          <w14:textFill>
            <w14:solidFill>
              <w14:schemeClr w14:val="tx1"/>
            </w14:solidFill>
          </w14:textFill>
        </w:rPr>
        <w:t>必须由贴现申请人在同一开户行或供应链平台持有</w:t>
      </w:r>
      <w:r>
        <w:rPr>
          <w:rFonts w:hint="eastAsia" w:ascii="仿宋" w:hAnsi="仿宋" w:eastAsia="仿宋" w:cs="仿宋"/>
          <w:color w:val="000000" w:themeColor="text1"/>
          <w:sz w:val="32"/>
          <w14:textFill>
            <w14:solidFill>
              <w14:schemeClr w14:val="tx1"/>
            </w14:solidFill>
          </w14:textFill>
        </w:rPr>
        <w:t>。一笔挂牌询价仅包含一张票据（包）。</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14:textFill>
            <w14:solidFill>
              <w14:schemeClr w14:val="tx1"/>
            </w14:solidFill>
          </w14:textFill>
        </w:rPr>
        <w:t>.挂牌询价、对话报价期间，票交所对相关票据予以锁定，ECDS票据除外。</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rPr>
        <w:t>14.</w:t>
      </w:r>
      <w:r>
        <w:rPr>
          <w:rFonts w:hint="eastAsia" w:ascii="仿宋" w:hAnsi="仿宋" w:eastAsia="仿宋" w:cs="仿宋"/>
          <w:sz w:val="32"/>
          <w:szCs w:val="32"/>
          <w:lang w:bidi="ar"/>
        </w:rPr>
        <w:t>贴现申请人和贴现机构应当根据意向成交单履行合同义务，不得擅自变更或解除合同。</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对于</w:t>
      </w:r>
      <w:r>
        <w:rPr>
          <w:rFonts w:hint="eastAsia" w:ascii="仿宋" w:hAnsi="仿宋" w:eastAsia="仿宋" w:cs="仿宋"/>
          <w:sz w:val="32"/>
          <w:szCs w:val="32"/>
        </w:rPr>
        <w:t>票据业务系统签发的票据，票交所根据意向成交单进行票据资金清</w:t>
      </w:r>
      <w:r>
        <w:rPr>
          <w:rFonts w:hint="eastAsia" w:ascii="仿宋" w:hAnsi="仿宋" w:eastAsia="仿宋" w:cs="仿宋"/>
          <w:sz w:val="32"/>
          <w:szCs w:val="32"/>
          <w:lang w:eastAsia="zh-CN"/>
        </w:rPr>
        <w:t>算</w:t>
      </w:r>
      <w:r>
        <w:rPr>
          <w:rFonts w:hint="eastAsia" w:ascii="仿宋" w:hAnsi="仿宋" w:eastAsia="仿宋" w:cs="仿宋"/>
          <w:sz w:val="32"/>
          <w:szCs w:val="32"/>
        </w:rPr>
        <w:t>结算及票据权属转让变更处理。</w:t>
      </w:r>
      <w:r>
        <w:rPr>
          <w:rFonts w:hint="eastAsia" w:ascii="仿宋" w:hAnsi="仿宋" w:eastAsia="仿宋" w:cs="仿宋"/>
          <w:sz w:val="32"/>
          <w:szCs w:val="32"/>
          <w:lang w:bidi="ar"/>
        </w:rPr>
        <w:t>贴现机构应确保其指定的用于贴现资金清</w:t>
      </w:r>
      <w:r>
        <w:rPr>
          <w:rFonts w:hint="eastAsia" w:ascii="仿宋" w:hAnsi="仿宋" w:eastAsia="仿宋" w:cs="仿宋"/>
          <w:sz w:val="32"/>
          <w:szCs w:val="32"/>
          <w:lang w:eastAsia="zh-CN" w:bidi="ar"/>
        </w:rPr>
        <w:t>算</w:t>
      </w:r>
      <w:r>
        <w:rPr>
          <w:rFonts w:hint="eastAsia" w:ascii="仿宋" w:hAnsi="仿宋" w:eastAsia="仿宋" w:cs="仿宋"/>
          <w:sz w:val="32"/>
          <w:szCs w:val="32"/>
          <w:lang w:bidi="ar"/>
        </w:rPr>
        <w:t>结算的</w:t>
      </w:r>
      <w:r>
        <w:rPr>
          <w:rFonts w:hint="eastAsia" w:ascii="仿宋_GB2312" w:hAnsi="仿宋_GB2312" w:eastAsia="仿宋_GB2312" w:cs="仿宋_GB2312"/>
          <w:color w:val="000000"/>
          <w:kern w:val="0"/>
          <w:sz w:val="31"/>
          <w:szCs w:val="31"/>
          <w:lang w:bidi="ar"/>
        </w:rPr>
        <w:t>人行清算账户或者会员</w:t>
      </w:r>
      <w:r>
        <w:rPr>
          <w:rFonts w:hint="eastAsia" w:ascii="仿宋" w:hAnsi="仿宋" w:eastAsia="仿宋" w:cs="仿宋"/>
          <w:sz w:val="32"/>
          <w:szCs w:val="32"/>
        </w:rPr>
        <w:t>资金账户</w:t>
      </w:r>
      <w:r>
        <w:rPr>
          <w:rFonts w:hint="eastAsia" w:ascii="仿宋" w:hAnsi="仿宋" w:eastAsia="仿宋" w:cs="仿宋"/>
          <w:sz w:val="32"/>
          <w:szCs w:val="32"/>
          <w:lang w:bidi="ar"/>
        </w:rPr>
        <w:t>余额充裕，能够按照意向成交单履行结算义务。</w:t>
      </w:r>
    </w:p>
    <w:p>
      <w:pPr>
        <w:widowControl/>
        <w:numPr>
          <w:ilvl w:val="255"/>
          <w:numId w:val="0"/>
        </w:numPr>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15.贴现申请人、贴现机构发布的贴现询价，应为真实、可贴现价格。</w:t>
      </w:r>
      <w:r>
        <w:rPr>
          <w:rFonts w:hint="eastAsia" w:ascii="仿宋" w:hAnsi="仿宋" w:eastAsia="仿宋" w:cs="仿宋"/>
          <w:sz w:val="32"/>
          <w:szCs w:val="32"/>
          <w:lang w:bidi="ar"/>
        </w:rPr>
        <w:t>票交所对相关主体参与线上贴现业务的相关行为进行统计分析和监测管理，发现有以下违规行为的，可要求其立即停止，并根据情节轻重采取通报、暂停业务权限等措施，同时向中国人民银行报告：</w:t>
      </w:r>
    </w:p>
    <w:p>
      <w:pPr>
        <w:widowControl/>
        <w:spacing w:line="590" w:lineRule="exact"/>
        <w:ind w:firstLine="640" w:firstLineChars="200"/>
        <w:jc w:val="left"/>
        <w:rPr>
          <w:rFonts w:ascii="仿宋" w:hAnsi="仿宋" w:eastAsia="仿宋" w:cs="仿宋"/>
          <w:sz w:val="32"/>
          <w:szCs w:val="32"/>
          <w:lang w:bidi="ar"/>
        </w:rPr>
      </w:pPr>
      <w:r>
        <w:rPr>
          <w:rFonts w:hint="eastAsia" w:ascii="仿宋" w:hAnsi="仿宋" w:eastAsia="仿宋" w:cs="仿宋"/>
          <w:sz w:val="32"/>
          <w:szCs w:val="32"/>
          <w:lang w:bidi="ar"/>
        </w:rPr>
        <w:t>（1）恶意扰乱报价交易秩序的；</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bidi="ar"/>
        </w:rPr>
        <w:t>（2）擅自变更或解除意向成交单的；</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bidi="ar"/>
        </w:rPr>
        <w:t>（3）成交后，贴现申请人、贴现机构恶意拒绝履行合同义务的，或多次部分履行合同义务的；</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bidi="ar"/>
        </w:rPr>
        <w:t>（4）贴现申请人提供不实信息、重要信息发生变更但未及时进行变更登记，从而对</w:t>
      </w:r>
      <w:r>
        <w:rPr>
          <w:rFonts w:hint="eastAsia" w:ascii="仿宋" w:hAnsi="仿宋" w:eastAsia="仿宋" w:cs="仿宋"/>
          <w:sz w:val="32"/>
          <w:szCs w:val="32"/>
        </w:rPr>
        <w:t>贴现</w:t>
      </w:r>
      <w:r>
        <w:rPr>
          <w:rFonts w:hint="eastAsia" w:ascii="仿宋" w:hAnsi="仿宋" w:eastAsia="仿宋" w:cs="仿宋"/>
          <w:sz w:val="32"/>
          <w:szCs w:val="32"/>
          <w:lang w:bidi="ar"/>
        </w:rPr>
        <w:t>交易造成不良影响的；</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bidi="ar"/>
        </w:rPr>
        <w:t>（5）恶意破坏票交所系统，或者未按票交所系统使用规范操作系统，从而影响票交所系统正常运行的；</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（6）其他违反法律法规、金融管理部门票据业务监管制度的行为。</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sz w:val="32"/>
          <w:szCs w:val="32"/>
        </w:rPr>
        <w:t>16.</w:t>
      </w:r>
      <w:r>
        <w:rPr>
          <w:rFonts w:hint="eastAsia" w:ascii="仿宋" w:hAnsi="仿宋" w:eastAsia="仿宋" w:cs="仿宋"/>
          <w:sz w:val="32"/>
          <w:szCs w:val="32"/>
        </w:rPr>
        <w:t>票据经纪机构、供应链平台应当</w:t>
      </w:r>
      <w:r>
        <w:rPr>
          <w:rFonts w:hint="eastAsia" w:ascii="仿宋" w:hAnsi="仿宋" w:eastAsia="仿宋" w:cs="仿宋"/>
          <w:color w:val="000000" w:themeColor="text1"/>
          <w:sz w:val="32"/>
          <w:szCs w:val="32"/>
          <w14:textFill>
            <w14:solidFill>
              <w14:schemeClr w14:val="tx1"/>
            </w14:solidFill>
          </w14:textFill>
        </w:rPr>
        <w:t>及时、清晰、准确、完整地向贴现申请人展示各贴入人的报价，将贴现申请人询价发送给票交所，不得变相</w:t>
      </w:r>
      <w:r>
        <w:rPr>
          <w:rFonts w:hint="eastAsia" w:ascii="仿宋" w:hAnsi="仿宋" w:eastAsia="仿宋" w:cs="仿宋"/>
          <w:sz w:val="32"/>
          <w:szCs w:val="32"/>
        </w:rPr>
        <w:t>隐瞒，损害</w:t>
      </w:r>
      <w:r>
        <w:rPr>
          <w:rFonts w:hint="eastAsia" w:ascii="仿宋" w:hAnsi="仿宋" w:eastAsia="仿宋" w:cs="仿宋"/>
          <w:color w:val="000000" w:themeColor="text1"/>
          <w:sz w:val="32"/>
          <w:szCs w:val="32"/>
          <w14:textFill>
            <w14:solidFill>
              <w14:schemeClr w14:val="tx1"/>
            </w14:solidFill>
          </w14:textFill>
        </w:rPr>
        <w:t>贴现申请人</w:t>
      </w:r>
      <w:r>
        <w:rPr>
          <w:rFonts w:hint="eastAsia" w:ascii="仿宋" w:hAnsi="仿宋" w:eastAsia="仿宋" w:cs="仿宋"/>
          <w:sz w:val="32"/>
          <w:szCs w:val="32"/>
        </w:rPr>
        <w:t>利益</w:t>
      </w:r>
      <w:r>
        <w:rPr>
          <w:rFonts w:hint="eastAsia" w:ascii="仿宋" w:hAnsi="仿宋" w:eastAsia="仿宋" w:cs="仿宋"/>
          <w:color w:val="000000" w:themeColor="text1"/>
          <w:sz w:val="32"/>
          <w:szCs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590" w:lineRule="exact"/>
        <w:ind w:firstLine="643" w:firstLineChars="200"/>
        <w:outlineLvl w:val="2"/>
        <w:rPr>
          <w:rFonts w:ascii="仿宋" w:hAnsi="仿宋" w:eastAsia="仿宋" w:cs="仿宋"/>
          <w:b/>
          <w:color w:val="000000" w:themeColor="text1"/>
          <w:sz w:val="32"/>
          <w14:textFill>
            <w14:solidFill>
              <w14:schemeClr w14:val="tx1"/>
            </w14:solidFill>
          </w14:textFill>
        </w:rPr>
      </w:pPr>
      <w:bookmarkStart w:id="1037" w:name="_Toc10102"/>
      <w:bookmarkStart w:id="1038" w:name="_Toc1569630698"/>
      <w:bookmarkStart w:id="1039" w:name="_Toc1996"/>
      <w:bookmarkStart w:id="1040" w:name="_Toc18610"/>
      <w:bookmarkStart w:id="1041" w:name="_Toc90541432"/>
      <w:bookmarkStart w:id="1042" w:name="_Toc27492"/>
      <w:r>
        <w:rPr>
          <w:rFonts w:hint="eastAsia" w:ascii="仿宋" w:hAnsi="仿宋" w:eastAsia="仿宋" w:cs="仿宋"/>
          <w:b/>
          <w:color w:val="000000" w:themeColor="text1"/>
          <w:sz w:val="32"/>
          <w14:textFill>
            <w14:solidFill>
              <w14:schemeClr w14:val="tx1"/>
            </w14:solidFill>
          </w14:textFill>
        </w:rPr>
        <w:t>4.5.1 意向询价</w:t>
      </w:r>
      <w:bookmarkEnd w:id="1037"/>
      <w:bookmarkEnd w:id="1038"/>
      <w:bookmarkEnd w:id="1039"/>
      <w:bookmarkEnd w:id="1040"/>
      <w:bookmarkEnd w:id="1041"/>
      <w:bookmarkEnd w:id="1042"/>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贴现申请人自行或授权票据经纪机构对指定票据发起意向询价，贴现机构应答反馈贴现价格。贴现机构也可以通过意向询价发布贴入需求。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意向询价须转化为对话报价后才能成交。</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3"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场景一：</w:t>
      </w:r>
      <w:r>
        <w:rPr>
          <w:rFonts w:hint="eastAsia" w:ascii="仿宋" w:hAnsi="仿宋" w:eastAsia="仿宋" w:cs="仿宋"/>
          <w:color w:val="000000" w:themeColor="text1"/>
          <w:sz w:val="32"/>
          <w14:textFill>
            <w14:solidFill>
              <w14:schemeClr w14:val="tx1"/>
            </w14:solidFill>
          </w14:textFill>
        </w:rPr>
        <w:t>贴现机构发布贴现指导价格</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1.贴现机构将贴入需求发送给票交所。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2.票交所向贴现机构反馈处理结果。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3.票交所将相关信息通过票据经纪机构、供应链平台展示给企业。</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sz w:val="32"/>
          <w:szCs w:val="32"/>
        </w:rPr>
        <w:t>4.贴现申请人（或经贴现申请人授权的票据经纪机构）选择贴现机构，发起对话报价，贴现申请人与贴现机构通过对话报价达成成交。转对话报价后，原意向询价单当日仍有效。</w:t>
      </w:r>
    </w:p>
    <w:p>
      <w:pPr>
        <w:spacing w:line="590" w:lineRule="exact"/>
        <w:ind w:firstLine="643"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场景二：</w:t>
      </w:r>
      <w:r>
        <w:rPr>
          <w:rFonts w:hint="eastAsia" w:ascii="仿宋" w:hAnsi="仿宋" w:eastAsia="仿宋" w:cs="仿宋"/>
          <w:sz w:val="32"/>
          <w:szCs w:val="32"/>
        </w:rPr>
        <w:t>贴现申请人发起意向询价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w:t>
      </w:r>
      <w:r>
        <w:rPr>
          <w:rFonts w:hint="eastAsia" w:ascii="仿宋" w:hAnsi="仿宋" w:eastAsia="仿宋" w:cs="仿宋"/>
          <w:sz w:val="32"/>
          <w:szCs w:val="32"/>
        </w:rPr>
        <w:t>贴现申请人选择票据，通过票据经纪机构发起意向询价，或授权票据经纪机构代为发起意向询价，票据经纪机构形成申请报文发送给票交所。贴现申请人也可以通过供应链平台对供应链票据发起意向询价，供应链平台形成申请报文发送给票交所。</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2.票交所将意向询价转发给贴现机构。</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3.贴现机构向票交所发送应答结果，明确是否可办理贴现以及可贴现利率。</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w:t>
      </w:r>
      <w:r>
        <w:rPr>
          <w:rFonts w:hint="eastAsia" w:ascii="仿宋" w:hAnsi="仿宋" w:eastAsia="仿宋" w:cs="仿宋"/>
          <w:sz w:val="32"/>
          <w:szCs w:val="32"/>
        </w:rPr>
        <w:t>票交所将</w:t>
      </w:r>
      <w:r>
        <w:rPr>
          <w:rFonts w:hint="eastAsia" w:ascii="仿宋" w:hAnsi="仿宋" w:eastAsia="仿宋" w:cs="仿宋"/>
          <w:color w:val="000000" w:themeColor="text1"/>
          <w:sz w:val="32"/>
          <w14:textFill>
            <w14:solidFill>
              <w14:schemeClr w14:val="tx1"/>
            </w14:solidFill>
          </w14:textFill>
        </w:rPr>
        <w:t>应答结果转发给票据经纪机构，或通过</w:t>
      </w:r>
      <w:r>
        <w:rPr>
          <w:rFonts w:hint="eastAsia" w:ascii="仿宋" w:hAnsi="仿宋" w:eastAsia="仿宋" w:cs="仿宋"/>
          <w:sz w:val="32"/>
          <w:szCs w:val="32"/>
        </w:rPr>
        <w:t>供应链平台转发给企业</w:t>
      </w:r>
      <w:r>
        <w:rPr>
          <w:rFonts w:hint="eastAsia" w:ascii="仿宋" w:hAnsi="仿宋" w:eastAsia="仿宋" w:cs="仿宋"/>
          <w:color w:val="000000" w:themeColor="text1"/>
          <w:sz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5.贴现申请人（或经贴现申请人授权的票据经纪机构）选择一家贴现机构，发起对话报价，票交所通知其他贴现机构询价终止。贴现申请人与贴现机构通过对话报价达成成交。</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2"/>
        <w:rPr>
          <w:rFonts w:ascii="仿宋" w:hAnsi="仿宋" w:eastAsia="仿宋" w:cs="仿宋"/>
          <w:b/>
          <w:color w:val="000000" w:themeColor="text1"/>
          <w:sz w:val="32"/>
          <w14:textFill>
            <w14:solidFill>
              <w14:schemeClr w14:val="tx1"/>
            </w14:solidFill>
          </w14:textFill>
        </w:rPr>
      </w:pPr>
      <w:bookmarkStart w:id="1043" w:name="_Toc23772"/>
      <w:bookmarkStart w:id="1044" w:name="_Toc23289"/>
      <w:bookmarkStart w:id="1045" w:name="_Toc2553"/>
      <w:bookmarkStart w:id="1046" w:name="_Toc10947"/>
      <w:bookmarkStart w:id="1047" w:name="_Toc23924"/>
      <w:bookmarkStart w:id="1048" w:name="_Toc16748"/>
      <w:bookmarkStart w:id="1049" w:name="_Toc22340"/>
      <w:bookmarkStart w:id="1050" w:name="_Toc13969"/>
      <w:bookmarkStart w:id="1051" w:name="_Toc19673"/>
      <w:bookmarkStart w:id="1052" w:name="_Toc21242"/>
      <w:bookmarkStart w:id="1053" w:name="_Toc20560"/>
      <w:bookmarkStart w:id="1054" w:name="_Toc11382"/>
      <w:bookmarkStart w:id="1055" w:name="_Toc25472"/>
      <w:bookmarkStart w:id="1056" w:name="_Toc11203"/>
      <w:bookmarkStart w:id="1057" w:name="_Toc28106"/>
      <w:bookmarkStart w:id="1058" w:name="_Toc19534"/>
      <w:bookmarkStart w:id="1059" w:name="_Toc7310"/>
      <w:bookmarkStart w:id="1060" w:name="_Toc22990"/>
      <w:bookmarkStart w:id="1061" w:name="_Toc9407"/>
      <w:bookmarkStart w:id="1062" w:name="_Toc15382"/>
      <w:bookmarkStart w:id="1063" w:name="_Toc5947"/>
      <w:bookmarkStart w:id="1064" w:name="_Toc90541433"/>
      <w:bookmarkStart w:id="1065" w:name="_Toc22682"/>
      <w:bookmarkStart w:id="1066" w:name="_Toc69659131"/>
      <w:bookmarkStart w:id="1067" w:name="_Toc7211"/>
      <w:bookmarkStart w:id="1068" w:name="_Toc6189"/>
      <w:bookmarkStart w:id="1069" w:name="_Toc15991"/>
      <w:bookmarkStart w:id="1070" w:name="_Toc25088"/>
      <w:bookmarkStart w:id="1071" w:name="_Toc19345"/>
      <w:bookmarkStart w:id="1072" w:name="_Toc7014"/>
      <w:bookmarkStart w:id="1073" w:name="_Toc5608"/>
      <w:bookmarkStart w:id="1074" w:name="_Toc1203478485"/>
      <w:r>
        <w:rPr>
          <w:rFonts w:hint="eastAsia" w:ascii="仿宋" w:hAnsi="仿宋" w:eastAsia="仿宋" w:cs="仿宋"/>
          <w:b/>
          <w:color w:val="000000" w:themeColor="text1"/>
          <w:sz w:val="32"/>
          <w14:textFill>
            <w14:solidFill>
              <w14:schemeClr w14:val="tx1"/>
            </w14:solidFill>
          </w14:textFill>
        </w:rPr>
        <w:t xml:space="preserve">4.5.2 </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Pr>
          <w:rFonts w:hint="eastAsia" w:ascii="仿宋" w:hAnsi="仿宋" w:eastAsia="仿宋" w:cs="仿宋"/>
          <w:b/>
          <w:color w:val="000000" w:themeColor="text1"/>
          <w:sz w:val="32"/>
          <w14:textFill>
            <w14:solidFill>
              <w14:schemeClr w14:val="tx1"/>
            </w14:solidFill>
          </w14:textFill>
        </w:rPr>
        <w:t>挂牌询价</w:t>
      </w:r>
      <w:bookmarkEnd w:id="1064"/>
      <w:bookmarkEnd w:id="1065"/>
      <w:bookmarkEnd w:id="1066"/>
      <w:bookmarkEnd w:id="1067"/>
      <w:bookmarkEnd w:id="1068"/>
      <w:bookmarkEnd w:id="1069"/>
      <w:bookmarkEnd w:id="1070"/>
      <w:bookmarkEnd w:id="1071"/>
      <w:bookmarkEnd w:id="1072"/>
      <w:bookmarkEnd w:id="1073"/>
      <w:bookmarkEnd w:id="1074"/>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贴现申请人通过票据经纪机构、供应链平台对指定票据设定贴现利率后，发起挂牌询价，贴现机构摘牌成交。</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themeColor="text1"/>
          <w:sz w:val="32"/>
          <w14:textFill>
            <w14:solidFill>
              <w14:schemeClr w14:val="tx1"/>
            </w14:solidFill>
          </w14:textFill>
        </w:rPr>
        <w:t>1.</w:t>
      </w:r>
      <w:r>
        <w:rPr>
          <w:rFonts w:hint="eastAsia" w:ascii="仿宋" w:hAnsi="仿宋" w:eastAsia="仿宋" w:cs="仿宋"/>
          <w:sz w:val="32"/>
          <w:szCs w:val="32"/>
        </w:rPr>
        <w:t>贴现申请人选择票据，通过票据经纪机构发起挂牌询价，或授权票据经纪机构代为发起挂牌询价，票据经纪机构形成申请报文发送给票交所。贴现申请人也可以通过供应链平台对供应链票据发起挂牌询价，供应链平台形成申请报文发送给票交所。</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2.票交所对相关票据进行锁定，并将挂牌询价转发给贴现机构。</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3.有贴现意向的贴现机构，向票交所发送“摘牌”应答。</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4.票交所向摘牌贴现机构发送挂牌询价单详情和票据详细信息，同时通知挂牌方和其他贴现机构，其他贴现机构无法再次摘牌。</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5.已摘牌的贴现机构进行贴现业务审批，向票交所发送成交或取消摘牌的应答。</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应答成交的，票交所生成意向成交单，向业务双方发送贴现意向成交通知。</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应答取消摘牌的，票交所通知业务双方和其他贴现机构，其他贴现机构可以再次摘牌。</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对于允许议价的挂牌询价，摘牌贴现机构可以将相关询价转为对话报价。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2"/>
        <w:rPr>
          <w:rFonts w:ascii="仿宋" w:hAnsi="仿宋" w:eastAsia="仿宋" w:cs="仿宋"/>
          <w:b/>
          <w:color w:val="000000" w:themeColor="text1"/>
          <w:sz w:val="32"/>
          <w14:textFill>
            <w14:solidFill>
              <w14:schemeClr w14:val="tx1"/>
            </w14:solidFill>
          </w14:textFill>
        </w:rPr>
      </w:pPr>
      <w:bookmarkStart w:id="1075" w:name="_Toc8408"/>
      <w:bookmarkStart w:id="1076" w:name="_Toc26808"/>
      <w:bookmarkStart w:id="1077" w:name="_Toc9801"/>
      <w:bookmarkStart w:id="1078" w:name="_Toc30562"/>
      <w:bookmarkStart w:id="1079" w:name="_Toc90541434"/>
      <w:bookmarkStart w:id="1080" w:name="_Toc19881"/>
      <w:bookmarkStart w:id="1081" w:name="_Toc69659132"/>
      <w:bookmarkStart w:id="1082" w:name="_Toc13353"/>
      <w:bookmarkStart w:id="1083" w:name="_Toc23640"/>
      <w:bookmarkStart w:id="1084" w:name="_Toc351324425"/>
      <w:bookmarkStart w:id="1085" w:name="_Toc12024"/>
      <w:r>
        <w:rPr>
          <w:rFonts w:hint="eastAsia" w:ascii="仿宋" w:hAnsi="仿宋" w:eastAsia="仿宋" w:cs="仿宋"/>
          <w:b/>
          <w:color w:val="000000" w:themeColor="text1"/>
          <w:sz w:val="32"/>
          <w14:textFill>
            <w14:solidFill>
              <w14:schemeClr w14:val="tx1"/>
            </w14:solidFill>
          </w14:textFill>
        </w:rPr>
        <w:t>4.5.3 对话报价</w:t>
      </w:r>
      <w:bookmarkEnd w:id="1075"/>
      <w:bookmarkEnd w:id="1076"/>
      <w:bookmarkEnd w:id="1077"/>
      <w:bookmarkEnd w:id="1078"/>
      <w:bookmarkEnd w:id="1079"/>
      <w:bookmarkEnd w:id="1080"/>
      <w:bookmarkEnd w:id="1081"/>
      <w:bookmarkEnd w:id="1082"/>
      <w:bookmarkEnd w:id="1083"/>
      <w:bookmarkEnd w:id="1084"/>
      <w:bookmarkEnd w:id="1085"/>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[业务概述]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贴现双方可以通过对话报价确定最终贴现意向，对话报价中交易要素需完整、明确。</w:t>
      </w:r>
    </w:p>
    <w:p>
      <w:pPr>
        <w:spacing w:line="590" w:lineRule="exact"/>
        <w:ind w:firstLine="643"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[业务流程]</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1.贴现申请人（或经贴现申请人授权的票据经纪机构）收到贴现意向询价后，或贴现机构摘牌后，可以向对方发起对话报价。</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2.票交所向接收方转发对话报价信息和票据详细信息。</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3.接收方进行“成交”或“终止”应答，或者修改对话报价要素后反馈至对话报价发起方。</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4.对话报价一方应答成交后，票交所生成意向成交单，向业务双方发送贴现意向成交通知，进入清算结算流程。</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3" w:firstLineChars="200"/>
        <w:outlineLvl w:val="1"/>
        <w:rPr>
          <w:rFonts w:ascii="仿宋" w:hAnsi="仿宋" w:eastAsia="仿宋" w:cs="仿宋"/>
          <w:b/>
          <w:color w:val="000000" w:themeColor="text1"/>
          <w:sz w:val="32"/>
          <w14:textFill>
            <w14:solidFill>
              <w14:schemeClr w14:val="tx1"/>
            </w14:solidFill>
          </w14:textFill>
        </w:rPr>
      </w:pPr>
      <w:bookmarkStart w:id="1086" w:name="_Toc3897"/>
      <w:bookmarkStart w:id="1087" w:name="_Toc4656"/>
      <w:bookmarkStart w:id="1088" w:name="_Toc1063915473"/>
      <w:bookmarkStart w:id="1089" w:name="_Toc714"/>
      <w:bookmarkStart w:id="1090" w:name="_Toc28713"/>
      <w:bookmarkStart w:id="1091" w:name="_Toc24971"/>
      <w:bookmarkStart w:id="1092" w:name="_Toc9441"/>
      <w:bookmarkStart w:id="1093" w:name="_Toc30683"/>
      <w:bookmarkStart w:id="1094" w:name="_Toc25842"/>
      <w:bookmarkStart w:id="1095" w:name="_Toc29261"/>
      <w:bookmarkStart w:id="1096" w:name="_Toc13130"/>
      <w:bookmarkStart w:id="1097" w:name="_Toc8143"/>
      <w:bookmarkStart w:id="1098" w:name="_Toc28832"/>
      <w:bookmarkStart w:id="1099" w:name="_Toc69659138"/>
      <w:bookmarkStart w:id="1100" w:name="_Toc20052"/>
      <w:bookmarkStart w:id="1101" w:name="_Toc8196"/>
      <w:bookmarkStart w:id="1102" w:name="_Toc24631"/>
      <w:bookmarkStart w:id="1103" w:name="_Toc26725"/>
      <w:bookmarkStart w:id="1104" w:name="_Toc90541437"/>
      <w:bookmarkStart w:id="1105" w:name="_Toc14708"/>
      <w:r>
        <w:rPr>
          <w:rFonts w:hint="eastAsia" w:ascii="仿宋" w:hAnsi="仿宋" w:eastAsia="仿宋" w:cs="仿宋"/>
          <w:b/>
          <w:color w:val="000000" w:themeColor="text1"/>
          <w:sz w:val="32"/>
          <w14:textFill>
            <w14:solidFill>
              <w14:schemeClr w14:val="tx1"/>
            </w14:solidFill>
          </w14:textFill>
        </w:rPr>
        <w:t>4.6 成交后处理</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pPr>
        <w:spacing w:line="590" w:lineRule="exact"/>
        <w:ind w:firstLine="643"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[业务规则]</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sz w:val="32"/>
          <w:szCs w:val="32"/>
        </w:rPr>
        <w:t>票据业务</w:t>
      </w:r>
      <w:r>
        <w:rPr>
          <w:rFonts w:ascii="仿宋" w:hAnsi="仿宋" w:eastAsia="仿宋" w:cs="仿宋"/>
          <w:bCs/>
          <w:sz w:val="32"/>
          <w:szCs w:val="32"/>
        </w:rPr>
        <w:t>系统</w:t>
      </w:r>
      <w:r>
        <w:rPr>
          <w:rFonts w:hint="eastAsia" w:ascii="仿宋" w:hAnsi="仿宋" w:eastAsia="仿宋" w:cs="仿宋"/>
          <w:color w:val="000000" w:themeColor="text1"/>
          <w:sz w:val="32"/>
          <w:szCs w:val="32"/>
          <w14:textFill>
            <w14:solidFill>
              <w14:schemeClr w14:val="tx1"/>
            </w14:solidFill>
          </w14:textFill>
        </w:rPr>
        <w:t>生成的结算交割单</w:t>
      </w:r>
      <w:r>
        <w:rPr>
          <w:rStyle w:val="25"/>
          <w:rFonts w:hint="eastAsia" w:ascii="仿宋" w:hAnsi="仿宋" w:eastAsia="仿宋" w:cs="仿宋"/>
          <w:color w:val="000000" w:themeColor="text1"/>
          <w:sz w:val="32"/>
          <w:szCs w:val="32"/>
          <w14:textFill>
            <w14:solidFill>
              <w14:schemeClr w14:val="tx1"/>
            </w14:solidFill>
          </w14:textFill>
        </w:rPr>
        <w:footnoteReference w:id="7"/>
      </w:r>
      <w:r>
        <w:rPr>
          <w:rFonts w:hint="eastAsia" w:ascii="仿宋" w:hAnsi="仿宋" w:eastAsia="仿宋" w:cs="仿宋"/>
          <w:color w:val="000000" w:themeColor="text1"/>
          <w:sz w:val="32"/>
          <w:szCs w:val="32"/>
          <w14:textFill>
            <w14:solidFill>
              <w14:schemeClr w14:val="tx1"/>
            </w14:solidFill>
          </w14:textFill>
        </w:rPr>
        <w:t>，可作为贴现申请人与贴现机构间的贴现凭证。</w:t>
      </w:r>
    </w:p>
    <w:p>
      <w:pPr>
        <w:spacing w:line="590" w:lineRule="exact"/>
        <w:ind w:firstLine="643"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[业务流程]</w:t>
      </w:r>
    </w:p>
    <w:p>
      <w:pPr>
        <w:spacing w:line="590" w:lineRule="exact"/>
        <w:ind w:firstLine="640" w:firstLineChars="2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14:textFill>
            <w14:solidFill>
              <w14:schemeClr w14:val="tx1"/>
            </w14:solidFill>
          </w14:textFill>
        </w:rPr>
        <w:t>.对于在票据业务系统签发的电票，</w:t>
      </w:r>
      <w:r>
        <w:rPr>
          <w:rFonts w:hint="eastAsia" w:ascii="仿宋" w:hAnsi="仿宋" w:eastAsia="仿宋" w:cs="仿宋"/>
          <w:sz w:val="32"/>
          <w:szCs w:val="32"/>
          <w:lang w:bidi="ar"/>
        </w:rPr>
        <w:t>票交所</w:t>
      </w:r>
      <w:r>
        <w:rPr>
          <w:rFonts w:hint="eastAsia" w:ascii="仿宋" w:hAnsi="仿宋" w:eastAsia="仿宋" w:cs="仿宋"/>
          <w:sz w:val="32"/>
          <w:szCs w:val="32"/>
        </w:rPr>
        <w:t>根据意向成交单进行资金清</w:t>
      </w:r>
      <w:r>
        <w:rPr>
          <w:rFonts w:hint="eastAsia" w:ascii="仿宋" w:hAnsi="仿宋" w:eastAsia="仿宋" w:cs="仿宋"/>
          <w:sz w:val="32"/>
          <w:szCs w:val="32"/>
          <w:lang w:eastAsia="zh-CN"/>
        </w:rPr>
        <w:t>算</w:t>
      </w:r>
      <w:r>
        <w:rPr>
          <w:rFonts w:hint="eastAsia" w:ascii="仿宋" w:hAnsi="仿宋" w:eastAsia="仿宋" w:cs="仿宋"/>
          <w:sz w:val="32"/>
          <w:szCs w:val="32"/>
        </w:rPr>
        <w:t>结算，对票据权属作变更处理，并生成结算交割单</w:t>
      </w:r>
      <w:r>
        <w:rPr>
          <w:rFonts w:hint="eastAsia" w:ascii="仿宋" w:hAnsi="仿宋" w:eastAsia="仿宋" w:cs="仿宋"/>
          <w:sz w:val="32"/>
          <w:szCs w:val="32"/>
          <w:lang w:bidi="ar"/>
        </w:rPr>
        <w:t>。</w:t>
      </w:r>
      <w:bookmarkEnd w:id="1099"/>
      <w:bookmarkEnd w:id="1100"/>
      <w:bookmarkEnd w:id="1101"/>
      <w:bookmarkEnd w:id="1102"/>
      <w:bookmarkEnd w:id="1103"/>
      <w:bookmarkEnd w:id="1104"/>
      <w:bookmarkEnd w:id="1105"/>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2.对于ECDS电票，贴现双方需按照意向成交单，自行</w:t>
      </w:r>
      <w:r>
        <w:rPr>
          <w:rFonts w:hint="eastAsia" w:ascii="仿宋" w:hAnsi="仿宋" w:eastAsia="仿宋" w:cs="仿宋"/>
          <w:color w:val="000000" w:themeColor="text1"/>
          <w:sz w:val="32"/>
          <w14:textFill>
            <w14:solidFill>
              <w14:schemeClr w14:val="tx1"/>
            </w14:solidFill>
          </w14:textFill>
        </w:rPr>
        <w:t>通过ECDS办理完成贴现业务。</w:t>
      </w:r>
      <w:r>
        <w:rPr>
          <w:rFonts w:hint="eastAsia" w:ascii="仿宋" w:hAnsi="仿宋" w:eastAsia="仿宋" w:cs="仿宋"/>
          <w:sz w:val="32"/>
          <w:szCs w:val="32"/>
        </w:rPr>
        <w:t>票交所对ECDS的业务处理结果与票据业务系统的意向成交单进行比对，比对规则如下：</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（1）ECDS中买断式贴现的票据号码，应当与票据业务系统意向成交单的票据号码一致。</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（2）ECDS中买断式贴现的签收报文日期，应当与票据业务系统意向成交单的结算日一致。</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（3）ECDS中贴现业务的贴出人组织机构代码，应当与票据业务系统意向成交单中贴现申请人社会信用代码的第9-17位一致。</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 xml:space="preserve">（4）ECDS中贴现业务的贴入人开户行行号，应当与意向成交单贴入方开户行行号一致，对于ECDS代理接入的机构，ECDS贴入人账号还应与意向成交单贴入方账号一致。 </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sz w:val="32"/>
          <w:szCs w:val="32"/>
        </w:rPr>
        <w:t>比对一致后，票据业务系统生成结算交割单</w:t>
      </w:r>
      <w:r>
        <w:rPr>
          <w:rFonts w:hint="eastAsia" w:ascii="仿宋" w:hAnsi="仿宋" w:eastAsia="仿宋" w:cs="仿宋"/>
          <w:color w:val="000000" w:themeColor="text1"/>
          <w:sz w:val="32"/>
          <w14:textFill>
            <w14:solidFill>
              <w14:schemeClr w14:val="tx1"/>
            </w14:solidFill>
          </w14:textFill>
        </w:rPr>
        <w:t>。</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hint="eastAsia" w:ascii="仿宋" w:hAnsi="仿宋" w:eastAsia="仿宋" w:cs="仿宋"/>
          <w:sz w:val="32"/>
          <w:szCs w:val="32"/>
        </w:rPr>
        <w:t>票据经纪机构、贴现机构可以在票交所客户端查询意向成交单和结算交割单。</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票据经纪机构、供应链平台可以根据票交所发送的贴现意向成交通知报文、贴现结算结果通知报文，参照模板样式（附件1</w:t>
      </w:r>
      <w:r>
        <w:rPr>
          <w:rFonts w:hint="eastAsia" w:ascii="仿宋" w:hAnsi="仿宋" w:eastAsia="仿宋" w:cs="仿宋"/>
          <w:color w:val="000000" w:themeColor="text1"/>
          <w:sz w:val="32"/>
          <w:lang w:val="en-US" w:eastAsia="zh-CN"/>
          <w14:textFill>
            <w14:solidFill>
              <w14:schemeClr w14:val="tx1"/>
            </w14:solidFill>
          </w14:textFill>
        </w:rPr>
        <w:t>4</w:t>
      </w:r>
      <w:r>
        <w:rPr>
          <w:rFonts w:hint="eastAsia" w:ascii="仿宋" w:hAnsi="仿宋" w:eastAsia="仿宋" w:cs="仿宋"/>
          <w:color w:val="000000" w:themeColor="text1"/>
          <w:sz w:val="32"/>
          <w14:textFill>
            <w14:solidFill>
              <w14:schemeClr w14:val="tx1"/>
            </w14:solidFill>
          </w14:textFill>
        </w:rPr>
        <w:t>、1</w:t>
      </w:r>
      <w:r>
        <w:rPr>
          <w:rFonts w:hint="eastAsia" w:ascii="仿宋" w:hAnsi="仿宋" w:eastAsia="仿宋" w:cs="仿宋"/>
          <w:color w:val="000000" w:themeColor="text1"/>
          <w:sz w:val="32"/>
          <w:lang w:val="en-US" w:eastAsia="zh-CN"/>
          <w14:textFill>
            <w14:solidFill>
              <w14:schemeClr w14:val="tx1"/>
            </w14:solidFill>
          </w14:textFill>
        </w:rPr>
        <w:t>5</w:t>
      </w:r>
      <w:r>
        <w:rPr>
          <w:rFonts w:hint="eastAsia" w:ascii="仿宋" w:hAnsi="仿宋" w:eastAsia="仿宋" w:cs="仿宋"/>
          <w:color w:val="000000" w:themeColor="text1"/>
          <w:sz w:val="32"/>
          <w14:textFill>
            <w14:solidFill>
              <w14:schemeClr w14:val="tx1"/>
            </w14:solidFill>
          </w14:textFill>
        </w:rPr>
        <w:t>）生成线上贴现意向成交单和结算交割单，方便企业查询、下载和打印。</w:t>
      </w:r>
    </w:p>
    <w:p>
      <w:pPr>
        <w:spacing w:line="590" w:lineRule="exact"/>
        <w:ind w:firstLine="640" w:firstLineChars="200"/>
        <w:rPr>
          <w:rFonts w:ascii="仿宋" w:hAnsi="仿宋" w:eastAsia="仿宋" w:cs="仿宋"/>
          <w:color w:val="000000" w:themeColor="text1"/>
          <w:sz w:val="32"/>
          <w14:textFill>
            <w14:solidFill>
              <w14:schemeClr w14:val="tx1"/>
            </w14:solidFill>
          </w14:textFill>
        </w:rPr>
      </w:pPr>
    </w:p>
    <w:p>
      <w:pPr>
        <w:spacing w:line="590" w:lineRule="exact"/>
        <w:ind w:firstLine="640" w:firstLineChars="200"/>
        <w:rPr>
          <w:rFonts w:ascii="仿宋" w:hAnsi="仿宋" w:eastAsia="仿宋" w:cs="仿宋"/>
          <w:bCs/>
          <w:color w:val="000000"/>
          <w:sz w:val="32"/>
          <w:szCs w:val="32"/>
          <w:lang w:bidi="ar"/>
        </w:rPr>
      </w:pPr>
    </w:p>
    <w:p/>
    <w:p>
      <w:pPr>
        <w:rPr>
          <w:rFonts w:ascii="仿宋" w:hAnsi="仿宋" w:eastAsia="仿宋" w:cs="仿宋"/>
          <w:b/>
          <w:bCs/>
          <w:sz w:val="32"/>
          <w:szCs w:val="32"/>
        </w:rPr>
      </w:pPr>
      <w:bookmarkStart w:id="1106" w:name="_Toc32664"/>
      <w:r>
        <w:rPr>
          <w:rFonts w:hint="eastAsia" w:ascii="仿宋" w:hAnsi="仿宋" w:eastAsia="仿宋" w:cs="仿宋"/>
          <w:b/>
          <w:bCs/>
          <w:sz w:val="32"/>
          <w:szCs w:val="32"/>
        </w:rPr>
        <w:br w:type="page"/>
      </w:r>
    </w:p>
    <w:p>
      <w:pPr>
        <w:pStyle w:val="2"/>
        <w:spacing w:before="0" w:after="0" w:line="590" w:lineRule="exact"/>
        <w:jc w:val="center"/>
        <w:rPr>
          <w:rFonts w:ascii="仿宋" w:hAnsi="仿宋" w:eastAsia="仿宋" w:cs="仿宋"/>
          <w:sz w:val="40"/>
          <w:szCs w:val="40"/>
        </w:rPr>
      </w:pPr>
      <w:bookmarkStart w:id="1107" w:name="_Toc22690"/>
      <w:bookmarkStart w:id="1108" w:name="_Toc12519"/>
      <w:bookmarkStart w:id="1109" w:name="_Toc10698"/>
      <w:bookmarkStart w:id="1110" w:name="_Toc24662"/>
      <w:bookmarkStart w:id="1111" w:name="_Toc1887759751"/>
      <w:bookmarkStart w:id="1112" w:name="_Toc3070"/>
      <w:bookmarkStart w:id="1113" w:name="_Toc20304"/>
      <w:bookmarkStart w:id="1114" w:name="_Toc440"/>
      <w:bookmarkStart w:id="1115" w:name="_Toc19885"/>
      <w:bookmarkStart w:id="1116" w:name="_Toc3180"/>
      <w:bookmarkStart w:id="1117" w:name="_Toc25515"/>
      <w:bookmarkStart w:id="1118" w:name="_Toc16619"/>
      <w:bookmarkStart w:id="1119" w:name="_Toc17921"/>
      <w:bookmarkStart w:id="1120" w:name="_Toc12411"/>
      <w:bookmarkStart w:id="1121" w:name="_Toc25307"/>
      <w:bookmarkStart w:id="1122" w:name="_Toc24358"/>
      <w:bookmarkStart w:id="1123" w:name="_Toc32079"/>
      <w:bookmarkStart w:id="1124" w:name="_Toc5437"/>
      <w:bookmarkStart w:id="1125" w:name="_Toc9845"/>
      <w:bookmarkStart w:id="1126" w:name="_Toc11204"/>
      <w:bookmarkStart w:id="1127" w:name="_Toc9210"/>
      <w:bookmarkStart w:id="1128" w:name="_Toc27544"/>
      <w:bookmarkStart w:id="1129" w:name="_Toc12679"/>
      <w:bookmarkStart w:id="1130" w:name="_Toc2817"/>
      <w:r>
        <w:rPr>
          <w:rFonts w:hint="eastAsia" w:ascii="仿宋" w:hAnsi="仿宋" w:eastAsia="仿宋" w:cs="仿宋"/>
          <w:sz w:val="40"/>
          <w:szCs w:val="40"/>
        </w:rPr>
        <w:t>第五章 纸质商业汇票的信息登记、库存管理和电子化</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widowControl/>
        <w:spacing w:line="590" w:lineRule="exact"/>
        <w:ind w:firstLine="640" w:firstLineChars="200"/>
        <w:rPr>
          <w:rFonts w:ascii="仿宋" w:hAnsi="仿宋" w:eastAsia="仿宋"/>
          <w:sz w:val="32"/>
          <w:szCs w:val="32"/>
        </w:rPr>
      </w:pPr>
    </w:p>
    <w:p>
      <w:pPr>
        <w:widowControl/>
        <w:spacing w:line="590" w:lineRule="exact"/>
        <w:ind w:firstLine="640" w:firstLineChars="200"/>
        <w:rPr>
          <w:rFonts w:ascii="仿宋" w:hAnsi="仿宋" w:eastAsia="仿宋"/>
          <w:sz w:val="32"/>
          <w:szCs w:val="32"/>
        </w:rPr>
      </w:pPr>
      <w:r>
        <w:rPr>
          <w:rFonts w:hint="eastAsia" w:ascii="仿宋" w:hAnsi="仿宋" w:eastAsia="仿宋"/>
          <w:sz w:val="32"/>
          <w:szCs w:val="32"/>
        </w:rPr>
        <w:t>业务参与者办理纸质商业汇票（以下简称纸票）的承兑、质押、保证、贴现、库存移库、保证增信、付款确认、止付、提示付款、追偿、结清</w:t>
      </w:r>
      <w:r>
        <w:rPr>
          <w:rFonts w:hint="eastAsia" w:ascii="仿宋" w:hAnsi="仿宋" w:eastAsia="仿宋"/>
          <w:sz w:val="32"/>
          <w:szCs w:val="32"/>
          <w:lang w:eastAsia="zh-Hans"/>
        </w:rPr>
        <w:t>等</w:t>
      </w:r>
      <w:r>
        <w:rPr>
          <w:rFonts w:hint="eastAsia" w:ascii="仿宋" w:hAnsi="仿宋" w:eastAsia="仿宋"/>
          <w:sz w:val="32"/>
          <w:szCs w:val="32"/>
        </w:rPr>
        <w:t>业务，应当通过票交所办理或登记业务相关信息。</w:t>
      </w:r>
    </w:p>
    <w:p>
      <w:pPr>
        <w:widowControl/>
        <w:numPr>
          <w:ilvl w:val="255"/>
          <w:numId w:val="0"/>
        </w:numPr>
        <w:tabs>
          <w:tab w:val="left" w:pos="2696"/>
        </w:tabs>
        <w:spacing w:line="590" w:lineRule="exact"/>
        <w:ind w:firstLine="640" w:firstLineChars="200"/>
        <w:jc w:val="left"/>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131" w:name="_Toc7705"/>
      <w:bookmarkStart w:id="1132" w:name="_Toc21503"/>
      <w:bookmarkStart w:id="1133" w:name="_Toc5619"/>
      <w:bookmarkStart w:id="1134" w:name="_Toc21065"/>
      <w:bookmarkStart w:id="1135" w:name="_Toc765743096"/>
      <w:bookmarkStart w:id="1136" w:name="_Toc19980"/>
      <w:bookmarkStart w:id="1137" w:name="_Toc18365"/>
      <w:bookmarkStart w:id="1138" w:name="_Toc31856"/>
      <w:bookmarkStart w:id="1139" w:name="_Toc10917"/>
      <w:bookmarkStart w:id="1140" w:name="_Toc7420"/>
      <w:bookmarkStart w:id="1141" w:name="_Toc1932"/>
      <w:bookmarkStart w:id="1142" w:name="_Toc15626"/>
      <w:bookmarkStart w:id="1143" w:name="_Toc31667"/>
      <w:bookmarkStart w:id="1144" w:name="_Toc22113"/>
      <w:bookmarkStart w:id="1145" w:name="_Toc4727"/>
      <w:bookmarkStart w:id="1146" w:name="_Toc4984"/>
      <w:bookmarkStart w:id="1147" w:name="_Toc14005"/>
      <w:r>
        <w:rPr>
          <w:rFonts w:hint="eastAsia" w:ascii="仿宋" w:hAnsi="仿宋" w:eastAsia="仿宋" w:cs="仿宋"/>
          <w:b/>
          <w:sz w:val="32"/>
          <w:szCs w:val="32"/>
        </w:rPr>
        <w:t>5.1 信息登记</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pPr>
        <w:widowControl/>
        <w:numPr>
          <w:ilvl w:val="0"/>
          <w:numId w:val="19"/>
        </w:numPr>
        <w:spacing w:line="590" w:lineRule="exact"/>
        <w:ind w:left="0" w:firstLine="640" w:firstLineChars="200"/>
        <w:rPr>
          <w:rFonts w:ascii="仿宋" w:hAnsi="仿宋" w:eastAsia="仿宋"/>
          <w:sz w:val="32"/>
          <w:szCs w:val="32"/>
        </w:rPr>
      </w:pPr>
      <w:bookmarkStart w:id="1148" w:name="_Toc3350"/>
      <w:r>
        <w:rPr>
          <w:rFonts w:hint="eastAsia" w:ascii="仿宋" w:hAnsi="仿宋" w:eastAsia="仿宋"/>
          <w:sz w:val="32"/>
          <w:szCs w:val="32"/>
        </w:rPr>
        <w:t>登记机构办理纸票信息登记，需验证票据实物真伪，认真核对相关信息，保证登记信息与票面信息一致。</w:t>
      </w:r>
    </w:p>
    <w:p>
      <w:pPr>
        <w:widowControl/>
        <w:numPr>
          <w:ilvl w:val="0"/>
          <w:numId w:val="19"/>
        </w:numPr>
        <w:spacing w:line="590" w:lineRule="exact"/>
        <w:ind w:left="0" w:firstLine="640" w:firstLineChars="200"/>
        <w:rPr>
          <w:rFonts w:ascii="仿宋" w:hAnsi="仿宋" w:eastAsia="仿宋"/>
          <w:sz w:val="32"/>
          <w:szCs w:val="32"/>
        </w:rPr>
      </w:pPr>
      <w:r>
        <w:rPr>
          <w:rFonts w:hint="eastAsia" w:ascii="仿宋" w:hAnsi="仿宋" w:eastAsia="仿宋"/>
          <w:sz w:val="32"/>
          <w:szCs w:val="32"/>
        </w:rPr>
        <w:t>登记机构对登记信息的真实性、完整性和准确性负责。</w:t>
      </w:r>
    </w:p>
    <w:p>
      <w:pPr>
        <w:widowControl/>
        <w:numPr>
          <w:ilvl w:val="0"/>
          <w:numId w:val="19"/>
        </w:numPr>
        <w:spacing w:line="590" w:lineRule="exact"/>
        <w:ind w:left="0" w:firstLine="640" w:firstLineChars="200"/>
        <w:rPr>
          <w:rFonts w:ascii="仿宋" w:hAnsi="仿宋" w:eastAsia="仿宋"/>
          <w:sz w:val="32"/>
          <w:szCs w:val="32"/>
        </w:rPr>
      </w:pPr>
      <w:r>
        <w:rPr>
          <w:rFonts w:hint="eastAsia" w:ascii="仿宋" w:hAnsi="仿宋" w:eastAsia="仿宋"/>
          <w:sz w:val="32"/>
          <w:szCs w:val="32"/>
        </w:rPr>
        <w:t xml:space="preserve">使用票交所客户端办理纸票的信息登记的，登记机构可采用单笔录入或批量导入的方式办理信息登记。 </w:t>
      </w:r>
    </w:p>
    <w:p>
      <w:pPr>
        <w:widowControl/>
        <w:numPr>
          <w:ilvl w:val="0"/>
          <w:numId w:val="19"/>
        </w:numPr>
        <w:spacing w:line="590" w:lineRule="exact"/>
        <w:ind w:left="0" w:firstLine="640" w:firstLineChars="200"/>
        <w:rPr>
          <w:rFonts w:ascii="仿宋" w:hAnsi="仿宋" w:eastAsia="仿宋"/>
          <w:sz w:val="32"/>
          <w:szCs w:val="32"/>
        </w:rPr>
      </w:pPr>
      <w:r>
        <w:rPr>
          <w:rFonts w:hint="eastAsia" w:ascii="仿宋" w:hAnsi="仿宋" w:eastAsia="仿宋"/>
          <w:sz w:val="32"/>
          <w:szCs w:val="32"/>
        </w:rPr>
        <w:t>登记机构应配置符合票交所影像标准的影像设备。在票交所登记上传的单个影像文件应清晰可辨，并满足以下要求：</w:t>
      </w:r>
    </w:p>
    <w:p>
      <w:pPr>
        <w:widowControl/>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（1）16bit以上彩色图像；</w:t>
      </w:r>
    </w:p>
    <w:p>
      <w:pPr>
        <w:widowControl/>
        <w:numPr>
          <w:ilvl w:val="0"/>
          <w:numId w:val="20"/>
        </w:numPr>
        <w:spacing w:line="590" w:lineRule="exact"/>
        <w:ind w:firstLine="640" w:firstLineChars="200"/>
        <w:rPr>
          <w:rFonts w:ascii="仿宋" w:hAnsi="仿宋" w:eastAsia="仿宋"/>
          <w:sz w:val="32"/>
          <w:szCs w:val="32"/>
        </w:rPr>
      </w:pPr>
      <w:r>
        <w:rPr>
          <w:rFonts w:hint="eastAsia" w:ascii="仿宋" w:hAnsi="仿宋" w:eastAsia="仿宋"/>
          <w:sz w:val="32"/>
          <w:szCs w:val="32"/>
        </w:rPr>
        <w:t>文件扩展名为“.jpg”或“.JPG”；</w:t>
      </w:r>
    </w:p>
    <w:p>
      <w:pPr>
        <w:widowControl/>
        <w:numPr>
          <w:ilvl w:val="0"/>
          <w:numId w:val="20"/>
        </w:numPr>
        <w:spacing w:line="590" w:lineRule="exact"/>
        <w:ind w:firstLine="640" w:firstLineChars="200"/>
        <w:rPr>
          <w:rFonts w:ascii="仿宋" w:hAnsi="仿宋" w:eastAsia="仿宋"/>
          <w:sz w:val="32"/>
          <w:szCs w:val="32"/>
        </w:rPr>
      </w:pPr>
      <w:r>
        <w:rPr>
          <w:rFonts w:hint="eastAsia" w:ascii="仿宋" w:hAnsi="仿宋" w:eastAsia="仿宋"/>
          <w:sz w:val="32"/>
          <w:szCs w:val="32"/>
        </w:rPr>
        <w:t>分辨率不低于 200dpi；</w:t>
      </w:r>
    </w:p>
    <w:p>
      <w:pPr>
        <w:widowControl/>
        <w:numPr>
          <w:ilvl w:val="0"/>
          <w:numId w:val="20"/>
        </w:numPr>
        <w:spacing w:line="590" w:lineRule="exact"/>
        <w:ind w:firstLine="640" w:firstLineChars="200"/>
        <w:rPr>
          <w:rFonts w:ascii="仿宋" w:hAnsi="仿宋" w:eastAsia="仿宋"/>
          <w:sz w:val="32"/>
          <w:szCs w:val="32"/>
        </w:rPr>
      </w:pPr>
      <w:r>
        <w:rPr>
          <w:rFonts w:hint="eastAsia" w:ascii="仿宋" w:hAnsi="仿宋" w:eastAsia="仿宋"/>
          <w:sz w:val="32"/>
          <w:szCs w:val="32"/>
        </w:rPr>
        <w:t>文件大小不超过 512KB；</w:t>
      </w:r>
    </w:p>
    <w:p>
      <w:pPr>
        <w:widowControl/>
        <w:numPr>
          <w:ilvl w:val="0"/>
          <w:numId w:val="20"/>
        </w:numPr>
        <w:spacing w:line="590" w:lineRule="exact"/>
        <w:ind w:firstLine="640" w:firstLineChars="200"/>
        <w:rPr>
          <w:rFonts w:ascii="仿宋" w:hAnsi="仿宋" w:eastAsia="仿宋"/>
          <w:sz w:val="32"/>
          <w:szCs w:val="32"/>
        </w:rPr>
      </w:pPr>
      <w:r>
        <w:rPr>
          <w:rFonts w:hint="eastAsia" w:ascii="仿宋" w:hAnsi="仿宋" w:eastAsia="仿宋"/>
          <w:sz w:val="32"/>
          <w:szCs w:val="32"/>
        </w:rPr>
        <w:t>采集的图像与原票据实物长宽同比例；</w:t>
      </w:r>
    </w:p>
    <w:p>
      <w:pPr>
        <w:widowControl/>
        <w:numPr>
          <w:ilvl w:val="0"/>
          <w:numId w:val="20"/>
        </w:numPr>
        <w:spacing w:line="590" w:lineRule="exact"/>
        <w:ind w:firstLine="640" w:firstLineChars="200"/>
        <w:rPr>
          <w:rFonts w:ascii="仿宋" w:hAnsi="仿宋" w:eastAsia="仿宋"/>
          <w:sz w:val="32"/>
          <w:szCs w:val="32"/>
        </w:rPr>
      </w:pPr>
      <w:r>
        <w:rPr>
          <w:rFonts w:hint="eastAsia" w:ascii="仿宋" w:hAnsi="仿宋" w:eastAsia="仿宋"/>
          <w:sz w:val="32"/>
          <w:szCs w:val="32"/>
        </w:rPr>
        <w:t>背书粘单影像必须包含完整骑缝章。</w:t>
      </w:r>
    </w:p>
    <w:p>
      <w:pPr>
        <w:widowControl/>
        <w:numPr>
          <w:ilvl w:val="255"/>
          <w:numId w:val="0"/>
        </w:num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149" w:name="_Toc17322"/>
      <w:bookmarkStart w:id="1150" w:name="_Toc1938"/>
      <w:bookmarkStart w:id="1151" w:name="_Toc12843"/>
      <w:bookmarkStart w:id="1152" w:name="_Toc15761"/>
      <w:bookmarkStart w:id="1153" w:name="_Toc16262"/>
      <w:bookmarkStart w:id="1154" w:name="_Toc1770081720"/>
      <w:bookmarkStart w:id="1155" w:name="_Toc28166"/>
      <w:bookmarkStart w:id="1156" w:name="_Toc10329"/>
      <w:bookmarkStart w:id="1157" w:name="_Toc30626"/>
      <w:bookmarkStart w:id="1158" w:name="_Toc13352"/>
      <w:bookmarkStart w:id="1159" w:name="_Toc5833"/>
      <w:bookmarkStart w:id="1160" w:name="_Toc21506"/>
      <w:bookmarkStart w:id="1161" w:name="_Toc20161"/>
      <w:bookmarkStart w:id="1162" w:name="_Toc17091"/>
      <w:bookmarkStart w:id="1163" w:name="_Toc7489"/>
      <w:bookmarkStart w:id="1164" w:name="_Toc28225"/>
      <w:r>
        <w:rPr>
          <w:rFonts w:hint="eastAsia" w:ascii="仿宋" w:hAnsi="仿宋" w:eastAsia="仿宋" w:cs="仿宋"/>
          <w:b/>
          <w:sz w:val="32"/>
          <w:szCs w:val="32"/>
        </w:rPr>
        <w:t>5.1.1 承兑信息登记</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金融机构作为承兑人或承兑人开户行，</w:t>
      </w:r>
      <w:r>
        <w:rPr>
          <w:rFonts w:hint="eastAsia" w:ascii="仿宋" w:hAnsi="仿宋" w:eastAsia="仿宋"/>
          <w:sz w:val="32"/>
          <w:szCs w:val="32"/>
          <w:lang w:eastAsia="zh-Hans"/>
        </w:rPr>
        <w:t>应在完成</w:t>
      </w:r>
      <w:r>
        <w:rPr>
          <w:rFonts w:hint="eastAsia" w:ascii="仿宋" w:hAnsi="仿宋" w:eastAsia="仿宋"/>
          <w:sz w:val="32"/>
          <w:szCs w:val="32"/>
        </w:rPr>
        <w:t>纸票承兑后办理纸票的承兑信息登记。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已</w:t>
      </w:r>
      <w:r>
        <w:rPr>
          <w:rFonts w:ascii="仿宋" w:hAnsi="仿宋" w:eastAsia="仿宋"/>
          <w:sz w:val="32"/>
          <w:szCs w:val="32"/>
        </w:rPr>
        <w:t>在</w:t>
      </w:r>
      <w:r>
        <w:rPr>
          <w:rFonts w:hint="eastAsia" w:ascii="仿宋" w:hAnsi="仿宋" w:eastAsia="仿宋"/>
          <w:sz w:val="32"/>
          <w:szCs w:val="32"/>
        </w:rPr>
        <w:t>票交所办理承兑信息登记的票据，相应的票据号码</w:t>
      </w:r>
      <w:r>
        <w:rPr>
          <w:rFonts w:hint="eastAsia" w:ascii="仿宋" w:hAnsi="仿宋" w:eastAsia="仿宋"/>
          <w:b/>
          <w:sz w:val="32"/>
          <w:szCs w:val="32"/>
        </w:rPr>
        <w:t>不可</w:t>
      </w:r>
      <w:r>
        <w:rPr>
          <w:rFonts w:hint="eastAsia" w:ascii="仿宋" w:hAnsi="仿宋" w:eastAsia="仿宋"/>
          <w:sz w:val="32"/>
          <w:szCs w:val="32"/>
        </w:rPr>
        <w:t>再用于新增的承兑信息登记操作。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登记机构为承兑人或承兑人开户行。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2）解付行</w:t>
      </w:r>
      <w:r>
        <w:rPr>
          <w:rFonts w:hint="eastAsia" w:ascii="仿宋" w:hAnsi="仿宋" w:eastAsia="仿宋"/>
          <w:sz w:val="32"/>
          <w:szCs w:val="32"/>
        </w:rPr>
        <w:t>，</w:t>
      </w:r>
      <w:r>
        <w:rPr>
          <w:rFonts w:ascii="仿宋" w:hAnsi="仿宋" w:eastAsia="仿宋"/>
          <w:sz w:val="32"/>
          <w:szCs w:val="32"/>
        </w:rPr>
        <w:t>可填写承兑人开户行或</w:t>
      </w:r>
      <w:r>
        <w:rPr>
          <w:rFonts w:hint="eastAsia" w:ascii="仿宋" w:hAnsi="仿宋" w:eastAsia="仿宋"/>
          <w:sz w:val="32"/>
          <w:szCs w:val="32"/>
        </w:rPr>
        <w:t>与承兑人开户行归属于同一法人的其他机构</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（解付行是在票据业务系统中负责处理纸票的提示付款应答操作和结算处理的金融机构，应与纸票票面上的承兑人开户行归属于同一法人，下同。）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业务日期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1）银票</w:t>
      </w:r>
      <w:r>
        <w:rPr>
          <w:rFonts w:hint="eastAsia" w:ascii="仿宋" w:hAnsi="仿宋" w:eastAsia="仿宋"/>
          <w:sz w:val="32"/>
          <w:szCs w:val="32"/>
          <w:lang w:eastAsia="zh-Hans"/>
        </w:rPr>
        <w:t>应</w:t>
      </w:r>
      <w:r>
        <w:rPr>
          <w:rFonts w:ascii="仿宋" w:hAnsi="仿宋" w:eastAsia="仿宋"/>
          <w:sz w:val="32"/>
          <w:szCs w:val="32"/>
        </w:rPr>
        <w:t>在</w:t>
      </w:r>
      <w:r>
        <w:rPr>
          <w:rFonts w:hint="eastAsia" w:ascii="仿宋" w:hAnsi="仿宋" w:eastAsia="仿宋"/>
          <w:b/>
          <w:sz w:val="32"/>
          <w:szCs w:val="32"/>
        </w:rPr>
        <w:t>不晚于</w:t>
      </w:r>
      <w:r>
        <w:rPr>
          <w:rFonts w:hint="eastAsia" w:ascii="仿宋" w:hAnsi="仿宋" w:eastAsia="仿宋"/>
          <w:sz w:val="32"/>
          <w:szCs w:val="32"/>
        </w:rPr>
        <w:t>办理承兑后的</w:t>
      </w:r>
      <w:r>
        <w:rPr>
          <w:rFonts w:hint="eastAsia" w:ascii="仿宋" w:hAnsi="仿宋" w:eastAsia="仿宋"/>
          <w:b/>
          <w:sz w:val="32"/>
          <w:szCs w:val="32"/>
          <w:lang w:eastAsia="zh-CN"/>
        </w:rPr>
        <w:t>下一</w:t>
      </w:r>
      <w:r>
        <w:rPr>
          <w:rFonts w:hint="eastAsia" w:ascii="仿宋" w:hAnsi="仿宋" w:eastAsia="仿宋"/>
          <w:b/>
          <w:sz w:val="32"/>
          <w:szCs w:val="32"/>
        </w:rPr>
        <w:t>营业日</w:t>
      </w:r>
      <w:r>
        <w:rPr>
          <w:rFonts w:hint="eastAsia" w:ascii="仿宋" w:hAnsi="仿宋" w:eastAsia="仿宋"/>
          <w:sz w:val="32"/>
          <w:szCs w:val="32"/>
        </w:rPr>
        <w:t>办理承兑信息登记。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商票</w:t>
      </w:r>
      <w:r>
        <w:rPr>
          <w:rFonts w:ascii="仿宋" w:hAnsi="仿宋" w:eastAsia="仿宋"/>
          <w:sz w:val="32"/>
          <w:szCs w:val="32"/>
        </w:rPr>
        <w:t>的承兑人</w:t>
      </w:r>
      <w:r>
        <w:rPr>
          <w:rFonts w:hint="eastAsia" w:ascii="仿宋" w:hAnsi="仿宋" w:eastAsia="仿宋"/>
          <w:sz w:val="32"/>
          <w:szCs w:val="32"/>
          <w:lang w:eastAsia="zh-Hans"/>
        </w:rPr>
        <w:t>应</w:t>
      </w:r>
      <w:r>
        <w:rPr>
          <w:rFonts w:ascii="仿宋" w:hAnsi="仿宋" w:eastAsia="仿宋"/>
          <w:sz w:val="32"/>
          <w:szCs w:val="32"/>
        </w:rPr>
        <w:t>委托其开户行</w:t>
      </w:r>
      <w:r>
        <w:rPr>
          <w:rFonts w:hint="eastAsia" w:ascii="仿宋" w:hAnsi="仿宋" w:eastAsia="仿宋"/>
          <w:sz w:val="32"/>
          <w:szCs w:val="32"/>
        </w:rPr>
        <w:t>及时办理承兑信息登记。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其他</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完成承兑信息登记前不应交付已承兑票据。</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已在人民银行开立清算账户的企业集团财务公司，在其承兑票据的票面上记载为付款人开户行，并在票交所办理其承兑票据的承兑信息登记。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未在人民银行开立清算账户的企业集团财务公司，在其承兑票据的票面上将其开户银行记载为付款人开户行，并委托其开户银行办理承兑票据的承兑信息登记。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承兑人或承兑人开户行向票交所发起承兑信息登记申请，需提供的要素信息包括：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（1）票据种类、票据号码、票据金额、出票日期、票据到期日、承兑日期；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（2）承兑人名称、承兑人账号、承兑人开户行行号、承兑人社会信用代码；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（3）出票人名称、出票人账号、出票人开户行行号、出票人社会信用代码；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（4）收款人名称、收款人账号、收款人开户行行号、收款人开户银行名称、收款人社会信用代码；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（5）解付行行号；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（6）出票人行业分类、出票人规模、出票人是否涉农、出票人是否绿色、出票人地区；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（7）影像类型、影像批次号等票据正面的影像信息；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（8）备注。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widowControl/>
        <w:spacing w:line="590" w:lineRule="exact"/>
        <w:ind w:firstLine="640" w:firstLineChars="200"/>
        <w:jc w:val="left"/>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color w:val="000000"/>
          <w:sz w:val="32"/>
          <w:szCs w:val="32"/>
          <w:lang w:bidi="ar"/>
        </w:rPr>
        <w:t>信息登记</w:t>
      </w:r>
      <w:r>
        <w:rPr>
          <w:rFonts w:hint="eastAsia" w:ascii="仿宋" w:hAnsi="仿宋" w:eastAsia="仿宋"/>
          <w:sz w:val="32"/>
          <w:szCs w:val="32"/>
          <w:lang w:bidi="ar"/>
        </w:rPr>
        <w:t>的登记</w:t>
      </w:r>
      <w:r>
        <w:rPr>
          <w:rFonts w:hint="eastAsia" w:ascii="仿宋" w:hAnsi="仿宋" w:eastAsia="仿宋"/>
          <w:color w:val="000000"/>
          <w:sz w:val="32"/>
          <w:szCs w:val="32"/>
          <w:lang w:bidi="ar"/>
        </w:rPr>
        <w:t>机构</w:t>
      </w:r>
      <w:r>
        <w:rPr>
          <w:rFonts w:hint="eastAsia" w:ascii="仿宋" w:hAnsi="仿宋" w:eastAsia="仿宋"/>
          <w:sz w:val="32"/>
          <w:szCs w:val="32"/>
          <w:lang w:bidi="ar"/>
        </w:rPr>
        <w:t>，需由</w:t>
      </w:r>
      <w:r>
        <w:rPr>
          <w:rFonts w:hint="eastAsia" w:ascii="仿宋" w:hAnsi="仿宋" w:eastAsia="仿宋"/>
          <w:color w:val="000000"/>
          <w:sz w:val="32"/>
          <w:szCs w:val="32"/>
          <w:lang w:bidi="ar"/>
        </w:rPr>
        <w:t>复核</w:t>
      </w:r>
      <w:r>
        <w:rPr>
          <w:rFonts w:hint="eastAsia" w:ascii="仿宋" w:hAnsi="仿宋" w:eastAsia="仿宋"/>
          <w:sz w:val="32"/>
          <w:szCs w:val="32"/>
          <w:lang w:bidi="ar"/>
        </w:rPr>
        <w:t>操作</w:t>
      </w:r>
      <w:r>
        <w:rPr>
          <w:rFonts w:hint="eastAsia" w:ascii="仿宋" w:hAnsi="仿宋" w:eastAsia="仿宋"/>
          <w:color w:val="000000"/>
          <w:sz w:val="32"/>
          <w:szCs w:val="32"/>
          <w:lang w:bidi="ar"/>
        </w:rPr>
        <w:t>员</w:t>
      </w:r>
      <w:r>
        <w:rPr>
          <w:rFonts w:hint="eastAsia" w:ascii="仿宋" w:hAnsi="仿宋" w:eastAsia="仿宋"/>
          <w:sz w:val="32"/>
          <w:szCs w:val="32"/>
          <w:lang w:bidi="ar"/>
        </w:rPr>
        <w:t>对</w:t>
      </w:r>
      <w:r>
        <w:rPr>
          <w:rFonts w:hint="eastAsia" w:ascii="仿宋" w:hAnsi="仿宋" w:eastAsia="仿宋"/>
          <w:color w:val="000000"/>
          <w:sz w:val="32"/>
          <w:szCs w:val="32"/>
          <w:lang w:bidi="ar"/>
        </w:rPr>
        <w:t>经办</w:t>
      </w:r>
      <w:r>
        <w:rPr>
          <w:rFonts w:hint="eastAsia" w:ascii="仿宋" w:hAnsi="仿宋" w:eastAsia="仿宋"/>
          <w:sz w:val="32"/>
          <w:szCs w:val="32"/>
          <w:lang w:bidi="ar"/>
        </w:rPr>
        <w:t>操作</w:t>
      </w:r>
      <w:r>
        <w:rPr>
          <w:rFonts w:hint="eastAsia" w:ascii="仿宋" w:hAnsi="仿宋" w:eastAsia="仿宋"/>
          <w:color w:val="000000"/>
          <w:sz w:val="32"/>
          <w:szCs w:val="32"/>
          <w:lang w:bidi="ar"/>
        </w:rPr>
        <w:t>员录入的</w:t>
      </w:r>
      <w:r>
        <w:rPr>
          <w:rFonts w:hint="eastAsia" w:ascii="仿宋" w:hAnsi="仿宋" w:eastAsia="仿宋"/>
          <w:sz w:val="32"/>
          <w:szCs w:val="32"/>
          <w:lang w:bidi="ar"/>
        </w:rPr>
        <w:t>登</w:t>
      </w:r>
      <w:r>
        <w:rPr>
          <w:rFonts w:hint="eastAsia" w:ascii="仿宋" w:hAnsi="仿宋" w:eastAsia="仿宋"/>
          <w:color w:val="000000"/>
          <w:sz w:val="32"/>
          <w:szCs w:val="32"/>
          <w:lang w:bidi="ar"/>
        </w:rPr>
        <w:t>记信息逐一核对</w:t>
      </w:r>
      <w:r>
        <w:rPr>
          <w:rFonts w:hint="eastAsia" w:ascii="仿宋" w:hAnsi="仿宋" w:eastAsia="仿宋"/>
          <w:sz w:val="32"/>
          <w:szCs w:val="32"/>
          <w:lang w:bidi="ar"/>
        </w:rPr>
        <w:t>，</w:t>
      </w:r>
      <w:r>
        <w:rPr>
          <w:rFonts w:hint="eastAsia" w:ascii="仿宋" w:hAnsi="仿宋" w:eastAsia="仿宋"/>
          <w:color w:val="000000"/>
          <w:sz w:val="32"/>
          <w:szCs w:val="32"/>
          <w:lang w:bidi="ar"/>
        </w:rPr>
        <w:t>核对无误</w:t>
      </w:r>
      <w:r>
        <w:rPr>
          <w:rFonts w:hint="eastAsia" w:ascii="仿宋" w:hAnsi="仿宋" w:eastAsia="仿宋"/>
          <w:sz w:val="32"/>
          <w:szCs w:val="32"/>
          <w:lang w:bidi="ar"/>
        </w:rPr>
        <w:t>、并</w:t>
      </w:r>
      <w:r>
        <w:rPr>
          <w:rFonts w:hint="eastAsia" w:ascii="仿宋" w:hAnsi="仿宋" w:eastAsia="仿宋"/>
          <w:color w:val="000000"/>
          <w:sz w:val="32"/>
          <w:szCs w:val="32"/>
          <w:lang w:bidi="ar"/>
        </w:rPr>
        <w:t>确认复核通过</w:t>
      </w:r>
      <w:r>
        <w:rPr>
          <w:rFonts w:hint="eastAsia" w:ascii="仿宋" w:hAnsi="仿宋" w:eastAsia="仿宋"/>
          <w:sz w:val="32"/>
          <w:szCs w:val="32"/>
          <w:lang w:bidi="ar"/>
        </w:rPr>
        <w:t>的</w:t>
      </w:r>
      <w:r>
        <w:rPr>
          <w:rFonts w:hint="eastAsia" w:ascii="仿宋" w:hAnsi="仿宋" w:eastAsia="仿宋"/>
          <w:color w:val="000000"/>
          <w:sz w:val="32"/>
          <w:szCs w:val="32"/>
          <w:lang w:bidi="ar"/>
        </w:rPr>
        <w:t>，完成信息登记。</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165" w:name="_Toc18711"/>
      <w:bookmarkStart w:id="1166" w:name="_Toc14320"/>
      <w:bookmarkStart w:id="1167" w:name="_Toc13384"/>
      <w:bookmarkStart w:id="1168" w:name="_Toc4151"/>
      <w:bookmarkStart w:id="1169" w:name="_Toc27501"/>
      <w:bookmarkStart w:id="1170" w:name="_Toc31013"/>
      <w:bookmarkStart w:id="1171" w:name="_Toc19474"/>
      <w:bookmarkStart w:id="1172" w:name="_Toc2413"/>
      <w:bookmarkStart w:id="1173" w:name="_Toc25108"/>
      <w:bookmarkStart w:id="1174" w:name="_Toc13850"/>
      <w:bookmarkStart w:id="1175" w:name="_Toc722208955"/>
      <w:bookmarkStart w:id="1176" w:name="_Toc19959"/>
      <w:bookmarkStart w:id="1177" w:name="_Toc17833"/>
      <w:bookmarkStart w:id="1178" w:name="_Toc28658"/>
      <w:bookmarkStart w:id="1179" w:name="_Toc7124"/>
      <w:bookmarkStart w:id="1180" w:name="_Toc10413"/>
      <w:bookmarkStart w:id="1181" w:name="_Toc29825"/>
      <w:r>
        <w:rPr>
          <w:rFonts w:hint="eastAsia" w:ascii="仿宋" w:hAnsi="仿宋" w:eastAsia="仿宋" w:cs="仿宋"/>
          <w:b/>
          <w:sz w:val="32"/>
          <w:szCs w:val="32"/>
        </w:rPr>
        <w:t>5.1.2 承兑保证信息登记</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金融机构作为保证人为承兑人作出票据保证的，在票交所登记纸票的保证信息。</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（1）已办理过质押信息登记（未解除质押）、保证信息登记、贴现信息登记的纸票，不可办理保证信息登记。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办理过质押信息登记并解除质押登记的票据，可以办理保证信息登记。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（2）风险状态票据（已在票交所登记止付信息且未登记解除的票据，下同），不可办理保证信息登记。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登记机构为保证人。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3.业务</w:t>
      </w:r>
      <w:r>
        <w:rPr>
          <w:rFonts w:ascii="仿宋" w:hAnsi="仿宋" w:eastAsia="仿宋"/>
          <w:sz w:val="32"/>
          <w:szCs w:val="32"/>
        </w:rPr>
        <w:t>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承兑人的保证人应</w:t>
      </w:r>
      <w:r>
        <w:rPr>
          <w:rFonts w:hint="eastAsia" w:ascii="仿宋" w:hAnsi="仿宋" w:eastAsia="仿宋" w:cs="仿宋"/>
          <w:b/>
          <w:sz w:val="32"/>
          <w:szCs w:val="32"/>
        </w:rPr>
        <w:t>不晚于</w:t>
      </w:r>
      <w:r>
        <w:rPr>
          <w:rFonts w:hint="eastAsia" w:ascii="仿宋" w:hAnsi="仿宋" w:eastAsia="仿宋" w:cs="仿宋"/>
          <w:sz w:val="32"/>
          <w:szCs w:val="32"/>
        </w:rPr>
        <w:t>业务办理的</w:t>
      </w:r>
      <w:r>
        <w:rPr>
          <w:rFonts w:hint="eastAsia" w:ascii="仿宋" w:hAnsi="仿宋" w:eastAsia="仿宋" w:cs="仿宋"/>
          <w:b/>
          <w:sz w:val="32"/>
          <w:szCs w:val="32"/>
          <w:lang w:eastAsia="zh-CN"/>
        </w:rPr>
        <w:t>下一</w:t>
      </w:r>
      <w:r>
        <w:rPr>
          <w:rFonts w:hint="eastAsia" w:ascii="仿宋" w:hAnsi="仿宋" w:eastAsia="仿宋" w:cs="仿宋"/>
          <w:b/>
          <w:sz w:val="32"/>
          <w:szCs w:val="32"/>
        </w:rPr>
        <w:t>营业日</w:t>
      </w:r>
      <w:r>
        <w:rPr>
          <w:rFonts w:hint="eastAsia" w:ascii="仿宋" w:hAnsi="仿宋" w:eastAsia="仿宋" w:cs="仿宋"/>
          <w:sz w:val="32"/>
          <w:szCs w:val="32"/>
        </w:rPr>
        <w:t>完整、准确地将保证信息登记至票交所。</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1.承兑保证人</w:t>
      </w:r>
      <w:r>
        <w:rPr>
          <w:rFonts w:hint="eastAsia" w:ascii="仿宋" w:hAnsi="仿宋" w:eastAsia="仿宋"/>
          <w:sz w:val="32"/>
          <w:szCs w:val="32"/>
        </w:rPr>
        <w:t>向票交所</w:t>
      </w:r>
      <w:r>
        <w:rPr>
          <w:rFonts w:ascii="仿宋" w:hAnsi="仿宋" w:eastAsia="仿宋"/>
          <w:sz w:val="32"/>
          <w:szCs w:val="32"/>
        </w:rPr>
        <w:t>发起保证信息登记申请，需提供的要素信息包括：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（2）保证日期、保证人行号；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182" w:name="_Toc14976"/>
      <w:bookmarkStart w:id="1183" w:name="_Toc18585"/>
      <w:bookmarkStart w:id="1184" w:name="_Toc25549"/>
      <w:bookmarkStart w:id="1185" w:name="_Toc19482"/>
      <w:bookmarkStart w:id="1186" w:name="_Toc19621"/>
      <w:bookmarkStart w:id="1187" w:name="_Toc16252"/>
      <w:bookmarkStart w:id="1188" w:name="_Toc27464"/>
      <w:bookmarkStart w:id="1189" w:name="_Toc1721725883"/>
      <w:bookmarkStart w:id="1190" w:name="_Toc228"/>
      <w:bookmarkStart w:id="1191" w:name="_Toc8684"/>
      <w:bookmarkStart w:id="1192" w:name="_Toc1363"/>
      <w:bookmarkStart w:id="1193" w:name="_Toc10305"/>
      <w:bookmarkStart w:id="1194" w:name="_Toc5499"/>
      <w:bookmarkStart w:id="1195" w:name="_Toc29990"/>
      <w:bookmarkStart w:id="1196" w:name="_Toc16951"/>
      <w:bookmarkStart w:id="1197" w:name="_Toc28164"/>
      <w:bookmarkStart w:id="1198" w:name="_Toc4407"/>
      <w:r>
        <w:rPr>
          <w:rFonts w:hint="eastAsia" w:ascii="仿宋" w:hAnsi="仿宋" w:eastAsia="仿宋" w:cs="仿宋"/>
          <w:b/>
          <w:sz w:val="32"/>
          <w:szCs w:val="32"/>
        </w:rPr>
        <w:t>5.1.3 质押及质押解除信息登记</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spacing w:line="590" w:lineRule="exact"/>
        <w:ind w:firstLine="643" w:firstLineChars="200"/>
        <w:outlineLvl w:val="3"/>
        <w:rPr>
          <w:rFonts w:ascii="仿宋" w:hAnsi="仿宋" w:eastAsia="仿宋"/>
          <w:b/>
          <w:bCs/>
          <w:sz w:val="32"/>
          <w:szCs w:val="32"/>
        </w:rPr>
      </w:pPr>
      <w:r>
        <w:rPr>
          <w:rFonts w:hint="eastAsia" w:ascii="仿宋" w:hAnsi="仿宋" w:eastAsia="仿宋"/>
          <w:b/>
          <w:bCs/>
          <w:sz w:val="32"/>
          <w:szCs w:val="32"/>
        </w:rPr>
        <w:t>5.1.3.1 质押</w:t>
      </w:r>
      <w:r>
        <w:rPr>
          <w:rFonts w:hint="eastAsia" w:ascii="仿宋" w:hAnsi="仿宋" w:eastAsia="仿宋" w:cs="仿宋"/>
          <w:b/>
          <w:bCs/>
          <w:sz w:val="32"/>
          <w:szCs w:val="32"/>
        </w:rPr>
        <w:t>信息</w:t>
      </w:r>
      <w:r>
        <w:rPr>
          <w:rFonts w:hint="eastAsia" w:ascii="仿宋" w:hAnsi="仿宋" w:eastAsia="仿宋"/>
          <w:b/>
          <w:bCs/>
          <w:sz w:val="32"/>
          <w:szCs w:val="32"/>
        </w:rPr>
        <w:t>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金融机构作为质权人，</w:t>
      </w:r>
      <w:r>
        <w:rPr>
          <w:rFonts w:hint="eastAsia" w:ascii="仿宋" w:hAnsi="仿宋" w:eastAsia="仿宋"/>
          <w:sz w:val="32"/>
          <w:szCs w:val="32"/>
          <w:lang w:eastAsia="zh-Hans"/>
        </w:rPr>
        <w:t>应在</w:t>
      </w:r>
      <w:r>
        <w:rPr>
          <w:rFonts w:hint="eastAsia" w:ascii="仿宋" w:hAnsi="仿宋" w:eastAsia="仿宋"/>
          <w:sz w:val="32"/>
          <w:szCs w:val="32"/>
        </w:rPr>
        <w:t>办理未贴现票据的质押业务</w:t>
      </w:r>
      <w:r>
        <w:rPr>
          <w:rFonts w:hint="eastAsia" w:ascii="仿宋" w:hAnsi="仿宋" w:eastAsia="仿宋"/>
          <w:sz w:val="32"/>
          <w:szCs w:val="32"/>
          <w:lang w:eastAsia="zh-Hans"/>
        </w:rPr>
        <w:t>后，</w:t>
      </w:r>
      <w:r>
        <w:rPr>
          <w:rFonts w:hint="eastAsia" w:ascii="仿宋" w:hAnsi="仿宋" w:eastAsia="仿宋"/>
          <w:sz w:val="32"/>
          <w:szCs w:val="32"/>
        </w:rPr>
        <w:t>在票交所登记纸票的质押信息。</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（1）已在票交所办理质押信息登记且未作质押解除登记的票据，不可再办理质押信息登记。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（2）风险状态票据，不可办理质押信息登记。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登记机构为质权人。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3.业务</w:t>
      </w:r>
      <w:r>
        <w:rPr>
          <w:rFonts w:ascii="仿宋" w:hAnsi="仿宋" w:eastAsia="仿宋"/>
          <w:sz w:val="32"/>
          <w:szCs w:val="32"/>
        </w:rPr>
        <w:t>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质权人</w:t>
      </w:r>
      <w:r>
        <w:rPr>
          <w:rFonts w:hint="eastAsia" w:ascii="仿宋" w:hAnsi="仿宋" w:eastAsia="仿宋" w:cs="仿宋"/>
          <w:sz w:val="32"/>
          <w:szCs w:val="32"/>
          <w:lang w:eastAsia="zh-Hans"/>
        </w:rPr>
        <w:t>应</w:t>
      </w:r>
      <w:r>
        <w:rPr>
          <w:rFonts w:hint="eastAsia" w:ascii="仿宋" w:hAnsi="仿宋" w:eastAsia="仿宋" w:cs="仿宋"/>
          <w:sz w:val="32"/>
          <w:szCs w:val="32"/>
        </w:rPr>
        <w:t>在</w:t>
      </w:r>
      <w:r>
        <w:rPr>
          <w:rFonts w:hint="eastAsia" w:ascii="仿宋" w:hAnsi="仿宋" w:eastAsia="仿宋" w:cs="仿宋"/>
          <w:b/>
          <w:sz w:val="32"/>
          <w:szCs w:val="32"/>
        </w:rPr>
        <w:t>不晚于</w:t>
      </w:r>
      <w:r>
        <w:rPr>
          <w:rFonts w:hint="eastAsia" w:ascii="仿宋" w:hAnsi="仿宋" w:eastAsia="仿宋" w:cs="仿宋"/>
          <w:sz w:val="32"/>
          <w:szCs w:val="32"/>
        </w:rPr>
        <w:t>业务办理的</w:t>
      </w:r>
      <w:r>
        <w:rPr>
          <w:rFonts w:hint="eastAsia" w:ascii="仿宋" w:hAnsi="仿宋" w:eastAsia="仿宋" w:cs="仿宋"/>
          <w:b/>
          <w:sz w:val="32"/>
          <w:szCs w:val="32"/>
          <w:lang w:eastAsia="zh-CN"/>
        </w:rPr>
        <w:t>下一</w:t>
      </w:r>
      <w:r>
        <w:rPr>
          <w:rFonts w:hint="eastAsia" w:ascii="仿宋" w:hAnsi="仿宋" w:eastAsia="仿宋" w:cs="仿宋"/>
          <w:b/>
          <w:sz w:val="32"/>
          <w:szCs w:val="32"/>
        </w:rPr>
        <w:t>营业日</w:t>
      </w:r>
      <w:r>
        <w:rPr>
          <w:rFonts w:hint="eastAsia" w:ascii="仿宋" w:hAnsi="仿宋" w:eastAsia="仿宋" w:cs="仿宋"/>
          <w:sz w:val="32"/>
          <w:szCs w:val="32"/>
        </w:rPr>
        <w:t>完整、准确地将质押信息登记至票交所。</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 xml:space="preserve"> [业务流程]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质权人向票交所发起质押信息登记申请，需提供的要素信息包括：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（2）质押日期；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（3）出质人名称、出质人账号、出质人开户行行号、出质人统一社会信用代码；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（4）质权行行号；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5.1.3.2 质押</w:t>
      </w:r>
      <w:r>
        <w:rPr>
          <w:rFonts w:hint="eastAsia" w:ascii="仿宋" w:hAnsi="仿宋" w:eastAsia="仿宋" w:cs="仿宋"/>
          <w:b/>
          <w:bCs/>
          <w:sz w:val="32"/>
          <w:szCs w:val="32"/>
        </w:rPr>
        <w:t>解除</w:t>
      </w:r>
      <w:r>
        <w:rPr>
          <w:rFonts w:hint="eastAsia" w:ascii="仿宋" w:hAnsi="仿宋" w:eastAsia="仿宋" w:cs="仿宋"/>
          <w:b/>
          <w:sz w:val="32"/>
          <w:szCs w:val="32"/>
        </w:rPr>
        <w:t>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金融机构作为质权人，</w:t>
      </w:r>
      <w:r>
        <w:rPr>
          <w:rFonts w:hint="eastAsia" w:ascii="仿宋" w:hAnsi="仿宋" w:eastAsia="仿宋"/>
          <w:sz w:val="32"/>
          <w:szCs w:val="32"/>
          <w:lang w:eastAsia="zh-Hans"/>
        </w:rPr>
        <w:t>应在办理</w:t>
      </w:r>
      <w:r>
        <w:rPr>
          <w:rFonts w:hint="eastAsia" w:ascii="仿宋" w:hAnsi="仿宋" w:eastAsia="仿宋"/>
          <w:sz w:val="32"/>
          <w:szCs w:val="32"/>
        </w:rPr>
        <w:t>票据质押解除</w:t>
      </w:r>
      <w:r>
        <w:rPr>
          <w:rFonts w:hint="eastAsia" w:ascii="仿宋" w:hAnsi="仿宋" w:eastAsia="仿宋"/>
          <w:sz w:val="32"/>
          <w:szCs w:val="32"/>
          <w:lang w:eastAsia="zh-Hans"/>
        </w:rPr>
        <w:t>后，</w:t>
      </w:r>
      <w:r>
        <w:rPr>
          <w:rFonts w:hint="eastAsia" w:ascii="仿宋" w:hAnsi="仿宋" w:eastAsia="仿宋"/>
          <w:sz w:val="32"/>
          <w:szCs w:val="32"/>
        </w:rPr>
        <w:t>在票交所办理纸票的质押解除信息登记。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已登记质押信息且未解除的纸票</w:t>
      </w:r>
      <w:r>
        <w:rPr>
          <w:rFonts w:hint="eastAsia" w:ascii="仿宋" w:hAnsi="仿宋" w:eastAsia="仿宋"/>
          <w:sz w:val="32"/>
          <w:szCs w:val="32"/>
          <w:lang w:eastAsia="zh-CN"/>
        </w:rPr>
        <w:t>可</w:t>
      </w:r>
      <w:r>
        <w:rPr>
          <w:rFonts w:hint="eastAsia" w:ascii="仿宋" w:hAnsi="仿宋" w:eastAsia="仿宋"/>
          <w:sz w:val="32"/>
          <w:szCs w:val="32"/>
        </w:rPr>
        <w:t>办理质押解除</w:t>
      </w:r>
      <w:r>
        <w:rPr>
          <w:rFonts w:hint="eastAsia" w:ascii="仿宋" w:hAnsi="仿宋" w:eastAsia="仿宋"/>
          <w:sz w:val="32"/>
          <w:szCs w:val="32"/>
          <w:lang w:eastAsia="zh-CN"/>
        </w:rPr>
        <w:t>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（1）登记机构为质权人。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（2）质押解除信息的登记机构需与质押信息的登记机构为同一机构。</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业务</w:t>
      </w:r>
      <w:r>
        <w:rPr>
          <w:rFonts w:ascii="仿宋" w:hAnsi="仿宋" w:eastAsia="仿宋"/>
          <w:sz w:val="32"/>
          <w:szCs w:val="32"/>
        </w:rPr>
        <w:t>日期</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质权人需在办理质押解除的</w:t>
      </w:r>
      <w:r>
        <w:rPr>
          <w:rFonts w:hint="eastAsia" w:ascii="仿宋" w:hAnsi="仿宋" w:eastAsia="仿宋" w:cs="仿宋"/>
          <w:b/>
          <w:bCs/>
          <w:sz w:val="32"/>
          <w:szCs w:val="32"/>
        </w:rPr>
        <w:t>当日</w:t>
      </w:r>
      <w:r>
        <w:rPr>
          <w:rFonts w:hint="eastAsia" w:ascii="仿宋" w:hAnsi="仿宋" w:eastAsia="仿宋" w:cs="仿宋"/>
          <w:sz w:val="32"/>
          <w:szCs w:val="32"/>
        </w:rPr>
        <w:t>在票交所完成质押解除信息登记。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1.质权人</w:t>
      </w:r>
      <w:r>
        <w:rPr>
          <w:rFonts w:hint="eastAsia" w:ascii="仿宋" w:hAnsi="仿宋" w:eastAsia="仿宋"/>
          <w:sz w:val="32"/>
          <w:szCs w:val="32"/>
        </w:rPr>
        <w:t>向票交所</w:t>
      </w:r>
      <w:r>
        <w:rPr>
          <w:rFonts w:ascii="仿宋" w:hAnsi="仿宋" w:eastAsia="仿宋"/>
          <w:sz w:val="32"/>
          <w:szCs w:val="32"/>
        </w:rPr>
        <w:t>发起</w:t>
      </w:r>
      <w:r>
        <w:rPr>
          <w:rFonts w:hint="eastAsia" w:ascii="仿宋" w:hAnsi="仿宋" w:eastAsia="仿宋"/>
          <w:sz w:val="32"/>
          <w:szCs w:val="32"/>
        </w:rPr>
        <w:t>质押解除信息登记申请，需提供的要素信息包括：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（2）质押解除日期；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199" w:name="_Toc2645"/>
      <w:bookmarkStart w:id="1200" w:name="_Toc12020"/>
      <w:bookmarkStart w:id="1201" w:name="_Toc31841"/>
      <w:bookmarkStart w:id="1202" w:name="_Toc5863"/>
      <w:bookmarkStart w:id="1203" w:name="_Toc24690"/>
      <w:bookmarkStart w:id="1204" w:name="_Toc20666"/>
      <w:bookmarkStart w:id="1205" w:name="_Toc19614"/>
      <w:bookmarkStart w:id="1206" w:name="_Toc23676"/>
      <w:bookmarkStart w:id="1207" w:name="_Toc8573"/>
      <w:bookmarkStart w:id="1208" w:name="_Toc28237"/>
      <w:bookmarkStart w:id="1209" w:name="_Toc5486"/>
      <w:bookmarkStart w:id="1210" w:name="_Toc1922"/>
      <w:bookmarkStart w:id="1211" w:name="_Toc30716"/>
      <w:bookmarkStart w:id="1212" w:name="_Toc8229"/>
      <w:bookmarkStart w:id="1213" w:name="_Toc32662"/>
      <w:bookmarkStart w:id="1214" w:name="_Toc31828"/>
      <w:bookmarkStart w:id="1215" w:name="_Toc803959756"/>
      <w:r>
        <w:rPr>
          <w:rFonts w:hint="eastAsia" w:ascii="仿宋" w:hAnsi="仿宋" w:eastAsia="仿宋" w:cs="仿宋"/>
          <w:b/>
          <w:sz w:val="32"/>
          <w:szCs w:val="32"/>
        </w:rPr>
        <w:t>5.1.4 贴现信息登记</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金融机构作为贴现的贴入人，应在办理纸票的贴现后，在票交所办理纸票的贴现信息登记。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风险状态票据，不可办理贴现信息登记。</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业务主体</w:t>
      </w:r>
    </w:p>
    <w:p>
      <w:pPr>
        <w:spacing w:line="590" w:lineRule="exact"/>
        <w:ind w:firstLine="640" w:firstLineChars="200"/>
        <w:rPr>
          <w:rFonts w:ascii="仿宋" w:hAnsi="仿宋" w:eastAsia="仿宋" w:cs="仿宋"/>
          <w:sz w:val="32"/>
          <w:szCs w:val="32"/>
        </w:rPr>
      </w:pPr>
      <w:r>
        <w:rPr>
          <w:rFonts w:hint="eastAsia" w:ascii="仿宋" w:hAnsi="仿宋" w:eastAsia="仿宋"/>
          <w:sz w:val="32"/>
          <w:szCs w:val="32"/>
        </w:rPr>
        <w:t>登记机构为贴现的贴入人。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业务</w:t>
      </w:r>
      <w:r>
        <w:rPr>
          <w:rFonts w:ascii="仿宋" w:hAnsi="仿宋" w:eastAsia="仿宋"/>
          <w:sz w:val="32"/>
          <w:szCs w:val="32"/>
        </w:rPr>
        <w:t>日期</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贴入人需在</w:t>
      </w:r>
      <w:r>
        <w:rPr>
          <w:rFonts w:hint="eastAsia" w:ascii="仿宋" w:hAnsi="仿宋" w:eastAsia="仿宋" w:cs="仿宋"/>
          <w:b/>
          <w:sz w:val="32"/>
          <w:szCs w:val="32"/>
        </w:rPr>
        <w:t>不晚于</w:t>
      </w:r>
      <w:r>
        <w:rPr>
          <w:rFonts w:hint="eastAsia" w:ascii="仿宋" w:hAnsi="仿宋" w:eastAsia="仿宋" w:cs="仿宋"/>
          <w:sz w:val="32"/>
          <w:szCs w:val="32"/>
        </w:rPr>
        <w:t>办理票据贴现后</w:t>
      </w:r>
      <w:r>
        <w:rPr>
          <w:rFonts w:hint="eastAsia" w:ascii="仿宋" w:hAnsi="仿宋" w:eastAsia="仿宋" w:cs="仿宋"/>
          <w:b/>
          <w:sz w:val="32"/>
          <w:szCs w:val="32"/>
          <w:lang w:eastAsia="zh-CN"/>
        </w:rPr>
        <w:t>下一</w:t>
      </w:r>
      <w:r>
        <w:rPr>
          <w:rFonts w:hint="eastAsia" w:ascii="仿宋" w:hAnsi="仿宋" w:eastAsia="仿宋" w:cs="仿宋"/>
          <w:b/>
          <w:sz w:val="32"/>
          <w:szCs w:val="32"/>
        </w:rPr>
        <w:t>营业日</w:t>
      </w:r>
      <w:r>
        <w:rPr>
          <w:rFonts w:hint="eastAsia" w:ascii="仿宋" w:hAnsi="仿宋" w:eastAsia="仿宋" w:cs="仿宋"/>
          <w:sz w:val="32"/>
          <w:szCs w:val="32"/>
        </w:rPr>
        <w:t>在票交所办理贴现信息登记。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贴入人可在票据到期日后办理贴现信息补充登记</w:t>
      </w:r>
      <w:r>
        <w:rPr>
          <w:rFonts w:ascii="仿宋" w:hAnsi="仿宋" w:eastAsia="仿宋" w:cs="仿宋"/>
          <w:sz w:val="32"/>
          <w:szCs w:val="32"/>
        </w:rPr>
        <w:t>,</w:t>
      </w:r>
      <w:r>
        <w:rPr>
          <w:rFonts w:hint="eastAsia" w:ascii="仿宋" w:hAnsi="仿宋" w:eastAsia="仿宋" w:cs="仿宋"/>
          <w:sz w:val="32"/>
          <w:szCs w:val="32"/>
        </w:rPr>
        <w:t>到期日后办理的贴现信息登记不可撤回。</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贴入人向票交所发起贴现信息登记申请，需提供的要素信息包括：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（2）贴现日期、贴现利率；</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（3）贴出人名称、贴出人账号、贴出人开户行行号、贴出人统一社会信用代码；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（4）贴出人行业分类、贴出人规模、贴出人是否涉农、贴出人是否绿色、贴出人地区；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（5）贴入人在票交所的参与者代码；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（6）影像类型、影像批次号等票据正面、票据背面及全部背书、票据贴现凭证等影像信息；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（7）备注。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widowControl/>
        <w:shd w:val="clear" w:color="auto" w:fill="FFFFFF"/>
        <w:spacing w:line="590" w:lineRule="exact"/>
        <w:ind w:firstLine="640" w:firstLineChars="200"/>
        <w:rPr>
          <w:rFonts w:ascii="仿宋" w:hAnsi="仿宋" w:eastAsia="仿宋"/>
          <w:sz w:val="32"/>
          <w:szCs w:val="32"/>
        </w:rPr>
      </w:pPr>
      <w:r>
        <w:rPr>
          <w:rFonts w:hint="eastAsia" w:ascii="仿宋" w:hAnsi="仿宋" w:eastAsia="仿宋"/>
          <w:sz w:val="32"/>
          <w:szCs w:val="32"/>
        </w:rPr>
        <w:t>4.</w:t>
      </w:r>
      <w:r>
        <w:rPr>
          <w:rFonts w:hint="eastAsia" w:ascii="仿宋" w:hAnsi="仿宋" w:eastAsia="仿宋"/>
          <w:sz w:val="32"/>
          <w:szCs w:val="32"/>
          <w:shd w:val="clear" w:color="auto" w:fill="FFFFFF"/>
          <w:lang w:bidi="ar"/>
        </w:rPr>
        <w:t>贴现的贴入人在办理贴现信息登记后，应妥善保管已贴现纸票实物。</w:t>
      </w:r>
      <w:r>
        <w:rPr>
          <w:rFonts w:hint="eastAsia" w:ascii="仿宋" w:hAnsi="仿宋" w:eastAsia="仿宋"/>
          <w:sz w:val="32"/>
          <w:szCs w:val="32"/>
        </w:rPr>
        <w:t>纸票在票交所的库存状态更新为“已保管”。</w:t>
      </w:r>
    </w:p>
    <w:p>
      <w:pPr>
        <w:widowControl/>
        <w:shd w:val="clear" w:color="auto" w:fill="FFFFFF"/>
        <w:spacing w:line="590" w:lineRule="exact"/>
        <w:ind w:firstLine="640" w:firstLineChars="200"/>
        <w:rPr>
          <w:rFonts w:ascii="仿宋" w:hAnsi="仿宋" w:eastAsia="仿宋"/>
          <w:sz w:val="32"/>
          <w:szCs w:val="32"/>
          <w:shd w:val="clear" w:color="auto" w:fill="FFFFFF"/>
          <w:lang w:bidi="ar"/>
        </w:rPr>
      </w:pPr>
      <w:r>
        <w:rPr>
          <w:rFonts w:hint="eastAsia" w:ascii="仿宋" w:hAnsi="仿宋" w:eastAsia="仿宋"/>
          <w:sz w:val="32"/>
          <w:szCs w:val="32"/>
        </w:rPr>
        <w:t>5.</w:t>
      </w:r>
      <w:r>
        <w:rPr>
          <w:rFonts w:hint="eastAsia" w:ascii="仿宋" w:hAnsi="仿宋" w:eastAsia="仿宋"/>
          <w:sz w:val="32"/>
          <w:szCs w:val="32"/>
          <w:shd w:val="clear" w:color="auto" w:fill="FFFFFF"/>
          <w:lang w:bidi="ar"/>
        </w:rPr>
        <w:t>贴现的贴入人在办理贴现信息登记后，应在纸票背面的被背书人栏中注明贴入人名称，并在票据背书栏加盖电子登记权属章。</w:t>
      </w:r>
    </w:p>
    <w:p>
      <w:pPr>
        <w:widowControl w:val="0"/>
        <w:shd w:val="clear" w:color="auto" w:fill="FFFFFF"/>
        <w:spacing w:line="590" w:lineRule="exact"/>
        <w:ind w:firstLine="640" w:firstLineChars="200"/>
        <w:rPr>
          <w:rFonts w:ascii="仿宋" w:hAnsi="仿宋" w:eastAsia="仿宋"/>
          <w:sz w:val="32"/>
          <w:szCs w:val="32"/>
          <w:shd w:val="clear" w:color="auto" w:fill="FFFFFF"/>
          <w:lang w:bidi="ar"/>
        </w:rPr>
      </w:pPr>
      <w:r>
        <w:rPr>
          <w:rFonts w:hint="eastAsia" w:ascii="仿宋" w:hAnsi="仿宋" w:eastAsia="仿宋"/>
          <w:sz w:val="32"/>
          <w:szCs w:val="32"/>
          <w:shd w:val="clear" w:color="auto" w:fill="FFFFFF"/>
          <w:lang w:bidi="ar"/>
        </w:rPr>
        <w:t>纸票不敷记载需粘单时，贴入人在骑缝处加盖汇票专用章、法定代表人或其授权的代理人名章后，在粘单背书人栏加盖电子登记权属章。</w:t>
      </w:r>
    </w:p>
    <w:p>
      <w:pPr>
        <w:widowControl/>
        <w:shd w:val="clear" w:color="auto" w:fill="FFFFFF"/>
        <w:spacing w:line="590" w:lineRule="exact"/>
        <w:ind w:firstLine="640" w:firstLineChars="200"/>
        <w:rPr>
          <w:rFonts w:ascii="仿宋" w:hAnsi="仿宋" w:eastAsia="仿宋"/>
          <w:sz w:val="32"/>
          <w:szCs w:val="32"/>
          <w:shd w:val="clear" w:color="auto" w:fill="FFFFFF"/>
          <w:lang w:bidi="ar"/>
        </w:rPr>
      </w:pPr>
      <w:r>
        <w:rPr>
          <w:rFonts w:hint="eastAsia" w:ascii="仿宋" w:hAnsi="仿宋" w:eastAsia="仿宋"/>
          <w:sz w:val="32"/>
          <w:szCs w:val="32"/>
          <w:shd w:val="clear" w:color="auto" w:fill="FFFFFF"/>
          <w:lang w:bidi="ar"/>
        </w:rPr>
        <w:t>6.电子登记权属章样式要求如下：登记章为长方形，长4厘米，宽2.5厘米，须有“已电子登记权属”字样及12位支付系统行号。登记章所刊汉字应为宋体并使用国务院公布的简化字。贴入人也可根据自身管理需要增加登记章编号等内容。</w:t>
      </w:r>
    </w:p>
    <w:p>
      <w:pPr>
        <w:widowControl/>
        <w:shd w:val="clear" w:color="auto" w:fill="FFFFFF"/>
        <w:spacing w:line="590" w:lineRule="exact"/>
        <w:ind w:firstLine="640" w:firstLineChars="200"/>
        <w:rPr>
          <w:rFonts w:ascii="仿宋" w:hAnsi="仿宋" w:eastAsia="仿宋"/>
          <w:sz w:val="32"/>
          <w:szCs w:val="32"/>
          <w:shd w:val="clear" w:color="auto" w:fill="FFFFFF"/>
          <w:lang w:bidi="ar"/>
        </w:rPr>
      </w:pPr>
      <w:r>
        <w:rPr>
          <w:rFonts w:hint="eastAsia" w:ascii="仿宋" w:hAnsi="仿宋" w:eastAsia="仿宋"/>
          <w:sz w:val="32"/>
          <w:szCs w:val="32"/>
          <w:shd w:val="clear" w:color="auto" w:fill="FFFFFF"/>
          <w:lang w:bidi="ar"/>
        </w:rPr>
        <w:t xml:space="preserve">登记章参考样式如下： </w:t>
      </w:r>
    </w:p>
    <w:p>
      <w:pPr>
        <w:spacing w:line="590" w:lineRule="exact"/>
        <w:ind w:firstLine="640" w:firstLineChars="200"/>
        <w:rPr>
          <w:rFonts w:ascii="仿宋" w:hAnsi="仿宋" w:eastAsia="仿宋"/>
          <w:b/>
          <w:bCs/>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1713865</wp:posOffset>
                </wp:positionH>
                <wp:positionV relativeFrom="paragraph">
                  <wp:posOffset>209550</wp:posOffset>
                </wp:positionV>
                <wp:extent cx="1720215" cy="903605"/>
                <wp:effectExtent l="5080" t="5080" r="8255" b="5715"/>
                <wp:wrapTopAndBottom/>
                <wp:docPr id="6" name="文本框 6"/>
                <wp:cNvGraphicFramePr/>
                <a:graphic xmlns:a="http://schemas.openxmlformats.org/drawingml/2006/main">
                  <a:graphicData uri="http://schemas.microsoft.com/office/word/2010/wordprocessingShape">
                    <wps:wsp>
                      <wps:cNvSpPr txBox="1"/>
                      <wps:spPr>
                        <a:xfrm>
                          <a:off x="0" y="0"/>
                          <a:ext cx="1720215" cy="903605"/>
                        </a:xfrm>
                        <a:prstGeom prst="rect">
                          <a:avLst/>
                        </a:prstGeom>
                        <a:solidFill>
                          <a:srgbClr val="FFFFFF"/>
                        </a:solidFill>
                        <a:ln w="6350">
                          <a:solidFill>
                            <a:prstClr val="black"/>
                          </a:solidFill>
                        </a:ln>
                        <a:effectLst/>
                      </wps:spPr>
                      <wps:txbx>
                        <w:txbxContent>
                          <w:p>
                            <w:pPr>
                              <w:widowControl/>
                              <w:shd w:val="clear" w:color="auto" w:fill="FFFFFF"/>
                              <w:spacing w:line="590" w:lineRule="exact"/>
                              <w:jc w:val="center"/>
                              <w:rPr>
                                <w:rFonts w:ascii="仿宋" w:hAnsi="仿宋" w:eastAsia="仿宋"/>
                                <w:sz w:val="32"/>
                                <w:szCs w:val="32"/>
                                <w:shd w:val="clear" w:color="auto" w:fill="FFFFFF"/>
                              </w:rPr>
                            </w:pPr>
                            <w:r>
                              <w:rPr>
                                <w:rFonts w:hint="eastAsia" w:ascii="仿宋" w:hAnsi="仿宋" w:eastAsia="仿宋"/>
                                <w:sz w:val="32"/>
                                <w:szCs w:val="32"/>
                                <w:shd w:val="clear" w:color="auto" w:fill="FFFFFF"/>
                              </w:rPr>
                              <w:t>已电子登记权属</w:t>
                            </w:r>
                          </w:p>
                          <w:p>
                            <w:pPr>
                              <w:widowControl/>
                              <w:shd w:val="clear" w:color="auto" w:fill="FFFFFF"/>
                              <w:spacing w:line="590" w:lineRule="exact"/>
                              <w:jc w:val="center"/>
                              <w:rPr>
                                <w:rFonts w:ascii="仿宋" w:hAnsi="仿宋" w:eastAsia="仿宋"/>
                                <w:sz w:val="32"/>
                                <w:szCs w:val="32"/>
                                <w:shd w:val="clear" w:color="auto" w:fill="FFFFFF"/>
                              </w:rPr>
                            </w:pPr>
                            <w:r>
                              <w:rPr>
                                <w:rFonts w:hint="eastAsia" w:ascii="仿宋" w:hAnsi="仿宋" w:eastAsia="仿宋"/>
                                <w:sz w:val="32"/>
                                <w:szCs w:val="32"/>
                                <w:shd w:val="clear" w:color="auto" w:fill="FFFFFF"/>
                              </w:rPr>
                              <w:t>（012345678900）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95pt;margin-top:16.5pt;height:71.15pt;width:135.45pt;mso-wrap-distance-bottom:0pt;mso-wrap-distance-top:0pt;z-index:251664384;mso-width-relative:page;mso-height-relative:page;" fillcolor="#FFFFFF" filled="t" stroked="t" coordsize="21600,21600" o:gfxdata="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v6LV1wAAAAoBAAAPAAAAAAAAAAEAIAAAACIA&#10;AABkcnMvZG93bnJldi54bWxQSwECFAAUAAAACACHTuJAnofsnUMCAAB3BAAADgAAAAAAAAABACAA&#10;AAAmAQAAZHJzL2Uyb0RvYy54bWxQSwUGAAAAAAYABgBZAQAA2wUAAAAA&#10;">
                <v:fill on="t" focussize="0,0"/>
                <v:stroke weight="0.5pt" color="#000000" joinstyle="round"/>
                <v:imagedata o:title=""/>
                <o:lock v:ext="edit" aspectratio="f"/>
                <v:textbox>
                  <w:txbxContent>
                    <w:p>
                      <w:pPr>
                        <w:widowControl/>
                        <w:shd w:val="clear" w:color="auto" w:fill="FFFFFF"/>
                        <w:spacing w:line="590" w:lineRule="exact"/>
                        <w:jc w:val="center"/>
                        <w:rPr>
                          <w:rFonts w:ascii="仿宋" w:hAnsi="仿宋" w:eastAsia="仿宋"/>
                          <w:sz w:val="32"/>
                          <w:szCs w:val="32"/>
                          <w:shd w:val="clear" w:color="auto" w:fill="FFFFFF"/>
                        </w:rPr>
                      </w:pPr>
                      <w:r>
                        <w:rPr>
                          <w:rFonts w:hint="eastAsia" w:ascii="仿宋" w:hAnsi="仿宋" w:eastAsia="仿宋"/>
                          <w:sz w:val="32"/>
                          <w:szCs w:val="32"/>
                          <w:shd w:val="clear" w:color="auto" w:fill="FFFFFF"/>
                        </w:rPr>
                        <w:t>已电子登记权属</w:t>
                      </w:r>
                    </w:p>
                    <w:p>
                      <w:pPr>
                        <w:widowControl/>
                        <w:shd w:val="clear" w:color="auto" w:fill="FFFFFF"/>
                        <w:spacing w:line="590" w:lineRule="exact"/>
                        <w:jc w:val="center"/>
                        <w:rPr>
                          <w:rFonts w:ascii="仿宋" w:hAnsi="仿宋" w:eastAsia="仿宋"/>
                          <w:sz w:val="32"/>
                          <w:szCs w:val="32"/>
                          <w:shd w:val="clear" w:color="auto" w:fill="FFFFFF"/>
                        </w:rPr>
                      </w:pPr>
                      <w:r>
                        <w:rPr>
                          <w:rFonts w:hint="eastAsia" w:ascii="仿宋" w:hAnsi="仿宋" w:eastAsia="仿宋"/>
                          <w:sz w:val="32"/>
                          <w:szCs w:val="32"/>
                          <w:shd w:val="clear" w:color="auto" w:fill="FFFFFF"/>
                        </w:rPr>
                        <w:t>（012345678900）</w:t>
                      </w:r>
                    </w:p>
                  </w:txbxContent>
                </v:textbox>
                <w10:wrap type="topAndBottom"/>
              </v:shape>
            </w:pict>
          </mc:Fallback>
        </mc:AlternateContent>
      </w:r>
    </w:p>
    <w:p>
      <w:pPr>
        <w:spacing w:line="590" w:lineRule="exact"/>
        <w:ind w:firstLine="643" w:firstLineChars="200"/>
        <w:outlineLvl w:val="2"/>
        <w:rPr>
          <w:rFonts w:ascii="仿宋" w:hAnsi="仿宋" w:eastAsia="仿宋" w:cs="仿宋"/>
          <w:b/>
          <w:sz w:val="32"/>
          <w:szCs w:val="32"/>
        </w:rPr>
      </w:pPr>
      <w:bookmarkStart w:id="1216" w:name="_Toc18884"/>
      <w:bookmarkStart w:id="1217" w:name="_Toc25210"/>
      <w:bookmarkStart w:id="1218" w:name="_Toc30383"/>
      <w:bookmarkStart w:id="1219" w:name="_Toc14738"/>
      <w:bookmarkStart w:id="1220" w:name="_Toc20045"/>
      <w:bookmarkStart w:id="1221" w:name="_Toc863440389"/>
      <w:bookmarkStart w:id="1222" w:name="_Toc24571"/>
      <w:bookmarkStart w:id="1223" w:name="_Toc16790"/>
      <w:bookmarkStart w:id="1224" w:name="_Toc10079"/>
      <w:bookmarkStart w:id="1225" w:name="_Toc32510"/>
      <w:r>
        <w:rPr>
          <w:rFonts w:hint="eastAsia" w:ascii="仿宋" w:hAnsi="仿宋" w:eastAsia="仿宋" w:cs="仿宋"/>
          <w:b/>
          <w:sz w:val="32"/>
          <w:szCs w:val="32"/>
        </w:rPr>
        <w:t>5</w:t>
      </w:r>
      <w:r>
        <w:rPr>
          <w:rFonts w:ascii="仿宋" w:hAnsi="仿宋" w:eastAsia="仿宋" w:cs="仿宋"/>
          <w:b/>
          <w:sz w:val="32"/>
          <w:szCs w:val="32"/>
        </w:rPr>
        <w:t>.1.5 结清信息登记</w:t>
      </w:r>
      <w:bookmarkEnd w:id="1216"/>
      <w:bookmarkEnd w:id="1217"/>
      <w:bookmarkEnd w:id="1218"/>
      <w:bookmarkEnd w:id="1219"/>
      <w:bookmarkEnd w:id="1220"/>
      <w:bookmarkEnd w:id="1221"/>
      <w:bookmarkEnd w:id="1222"/>
      <w:bookmarkEnd w:id="1223"/>
      <w:bookmarkEnd w:id="1224"/>
      <w:bookmarkEnd w:id="1225"/>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金融机构作为纸票的解付行，在对未在票交所进行贴现信息登记的票据支付票款解付后，在票交所办理结清信息登记。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1）未贴现</w:t>
      </w:r>
      <w:r>
        <w:rPr>
          <w:rFonts w:hint="eastAsia" w:ascii="仿宋" w:hAnsi="仿宋" w:eastAsia="仿宋"/>
          <w:sz w:val="32"/>
          <w:szCs w:val="32"/>
        </w:rPr>
        <w:t>纸票</w:t>
      </w:r>
      <w:r>
        <w:rPr>
          <w:rFonts w:ascii="仿宋" w:hAnsi="仿宋" w:eastAsia="仿宋"/>
          <w:sz w:val="32"/>
          <w:szCs w:val="32"/>
        </w:rPr>
        <w:t>经正常</w:t>
      </w:r>
      <w:r>
        <w:rPr>
          <w:rFonts w:hint="eastAsia" w:ascii="仿宋" w:hAnsi="仿宋" w:eastAsia="仿宋"/>
          <w:sz w:val="32"/>
          <w:szCs w:val="32"/>
        </w:rPr>
        <w:t>托收</w:t>
      </w:r>
      <w:r>
        <w:rPr>
          <w:rFonts w:ascii="仿宋" w:hAnsi="仿宋" w:eastAsia="仿宋"/>
          <w:sz w:val="32"/>
          <w:szCs w:val="32"/>
        </w:rPr>
        <w:t>解付</w:t>
      </w:r>
      <w:r>
        <w:rPr>
          <w:rFonts w:hint="eastAsia" w:ascii="仿宋" w:hAnsi="仿宋" w:eastAsia="仿宋"/>
          <w:sz w:val="32"/>
          <w:szCs w:val="32"/>
        </w:rPr>
        <w:t>的</w:t>
      </w:r>
      <w:r>
        <w:rPr>
          <w:rFonts w:ascii="仿宋" w:hAnsi="仿宋" w:eastAsia="仿宋"/>
          <w:sz w:val="32"/>
          <w:szCs w:val="32"/>
        </w:rPr>
        <w:t>，结清</w:t>
      </w:r>
      <w:r>
        <w:rPr>
          <w:rFonts w:hint="eastAsia" w:ascii="仿宋" w:hAnsi="仿宋" w:eastAsia="仿宋"/>
          <w:sz w:val="32"/>
          <w:szCs w:val="32"/>
        </w:rPr>
        <w:t>类型为“未贴现票据托收结清”。</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2）未贴现</w:t>
      </w:r>
      <w:r>
        <w:rPr>
          <w:rFonts w:hint="eastAsia" w:ascii="仿宋" w:hAnsi="仿宋" w:eastAsia="仿宋"/>
          <w:sz w:val="32"/>
          <w:szCs w:val="32"/>
        </w:rPr>
        <w:t>纸票</w:t>
      </w:r>
      <w:r>
        <w:rPr>
          <w:rFonts w:ascii="仿宋" w:hAnsi="仿宋" w:eastAsia="仿宋"/>
          <w:sz w:val="32"/>
          <w:szCs w:val="32"/>
        </w:rPr>
        <w:t>托收被拒付</w:t>
      </w:r>
      <w:r>
        <w:rPr>
          <w:rFonts w:hint="eastAsia" w:ascii="仿宋" w:hAnsi="仿宋" w:eastAsia="仿宋"/>
          <w:sz w:val="32"/>
          <w:szCs w:val="32"/>
        </w:rPr>
        <w:t>的</w:t>
      </w:r>
      <w:r>
        <w:rPr>
          <w:rFonts w:ascii="仿宋" w:hAnsi="仿宋" w:eastAsia="仿宋"/>
          <w:sz w:val="32"/>
          <w:szCs w:val="32"/>
        </w:rPr>
        <w:t>，在完成</w:t>
      </w:r>
      <w:r>
        <w:rPr>
          <w:rFonts w:hint="eastAsia" w:ascii="仿宋" w:hAnsi="仿宋" w:eastAsia="仿宋"/>
          <w:sz w:val="32"/>
          <w:szCs w:val="32"/>
        </w:rPr>
        <w:t>追偿并</w:t>
      </w:r>
      <w:r>
        <w:rPr>
          <w:rFonts w:ascii="仿宋" w:hAnsi="仿宋" w:eastAsia="仿宋"/>
          <w:sz w:val="32"/>
          <w:szCs w:val="32"/>
        </w:rPr>
        <w:t>结清票据债务后，结清类型</w:t>
      </w:r>
      <w:r>
        <w:rPr>
          <w:rFonts w:hint="eastAsia" w:ascii="仿宋" w:hAnsi="仿宋" w:eastAsia="仿宋"/>
          <w:sz w:val="32"/>
          <w:szCs w:val="32"/>
        </w:rPr>
        <w:t>为“</w:t>
      </w:r>
      <w:r>
        <w:rPr>
          <w:rFonts w:ascii="仿宋" w:hAnsi="仿宋" w:eastAsia="仿宋"/>
          <w:sz w:val="32"/>
          <w:szCs w:val="32"/>
        </w:rPr>
        <w:t>未贴现票据</w:t>
      </w:r>
      <w:r>
        <w:rPr>
          <w:rFonts w:hint="eastAsia" w:ascii="仿宋" w:hAnsi="仿宋" w:eastAsia="仿宋"/>
          <w:sz w:val="32"/>
          <w:szCs w:val="32"/>
        </w:rPr>
        <w:t>追偿</w:t>
      </w:r>
      <w:r>
        <w:rPr>
          <w:rFonts w:ascii="仿宋" w:hAnsi="仿宋" w:eastAsia="仿宋"/>
          <w:sz w:val="32"/>
          <w:szCs w:val="32"/>
        </w:rPr>
        <w:t>结清</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3）未贴现</w:t>
      </w:r>
      <w:r>
        <w:rPr>
          <w:rFonts w:hint="eastAsia" w:ascii="仿宋" w:hAnsi="仿宋" w:eastAsia="仿宋"/>
          <w:sz w:val="32"/>
          <w:szCs w:val="32"/>
        </w:rPr>
        <w:t>纸票</w:t>
      </w:r>
      <w:r>
        <w:rPr>
          <w:rFonts w:ascii="仿宋" w:hAnsi="仿宋" w:eastAsia="仿宋"/>
          <w:sz w:val="32"/>
          <w:szCs w:val="32"/>
        </w:rPr>
        <w:t>因除以上两种情况</w:t>
      </w:r>
      <w:r>
        <w:rPr>
          <w:rFonts w:hint="eastAsia" w:ascii="仿宋" w:hAnsi="仿宋" w:eastAsia="仿宋"/>
          <w:sz w:val="32"/>
          <w:szCs w:val="32"/>
        </w:rPr>
        <w:t>外的</w:t>
      </w:r>
      <w:r>
        <w:rPr>
          <w:rFonts w:ascii="仿宋" w:hAnsi="仿宋" w:eastAsia="仿宋"/>
          <w:sz w:val="32"/>
          <w:szCs w:val="32"/>
        </w:rPr>
        <w:t>其他原因结清的，结清类型</w:t>
      </w:r>
      <w:r>
        <w:rPr>
          <w:rFonts w:hint="eastAsia" w:ascii="仿宋" w:hAnsi="仿宋" w:eastAsia="仿宋"/>
          <w:sz w:val="32"/>
          <w:szCs w:val="32"/>
        </w:rPr>
        <w:t>为“</w:t>
      </w:r>
      <w:r>
        <w:rPr>
          <w:rFonts w:ascii="仿宋" w:hAnsi="仿宋" w:eastAsia="仿宋"/>
          <w:sz w:val="32"/>
          <w:szCs w:val="32"/>
        </w:rPr>
        <w:t>其他</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（4）风险状态票据，不可办理结清信息登记。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登记机构为解付行。</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解付行向票交所发起结清信息登记申请，需提供的要素信息包括：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（2）付款日期、结清类型；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（3）持票人名称、持票人账号、持票人开户行行号、持票人统一社会信用代码；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（4）托收行行号；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numPr>
          <w:ilvl w:val="255"/>
          <w:numId w:val="0"/>
        </w:numPr>
        <w:spacing w:line="590" w:lineRule="exact"/>
        <w:ind w:firstLine="640" w:firstLineChars="200"/>
        <w:rPr>
          <w:rFonts w:hint="eastAsia" w:ascii="仿宋" w:hAnsi="仿宋" w:eastAsia="仿宋"/>
          <w:sz w:val="32"/>
          <w:szCs w:val="32"/>
          <w:lang w:bidi="ar"/>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numPr>
          <w:ilvl w:val="255"/>
          <w:numId w:val="0"/>
        </w:numPr>
        <w:spacing w:line="590" w:lineRule="exact"/>
        <w:ind w:firstLine="640" w:firstLineChars="200"/>
        <w:rPr>
          <w:rFonts w:hint="eastAsia" w:ascii="仿宋" w:hAnsi="仿宋" w:eastAsia="仿宋"/>
          <w:sz w:val="32"/>
          <w:szCs w:val="32"/>
          <w:lang w:bidi="ar"/>
        </w:rPr>
      </w:pP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226" w:name="_Toc25112"/>
      <w:bookmarkStart w:id="1227" w:name="_Toc19038"/>
      <w:bookmarkStart w:id="1228" w:name="_Toc26312"/>
      <w:bookmarkStart w:id="1229" w:name="_Toc2113318271"/>
      <w:bookmarkStart w:id="1230" w:name="_Toc1619"/>
      <w:bookmarkStart w:id="1231" w:name="_Toc17855"/>
      <w:bookmarkStart w:id="1232" w:name="_Toc20877"/>
      <w:bookmarkStart w:id="1233" w:name="_Toc31280"/>
      <w:bookmarkStart w:id="1234" w:name="_Toc290"/>
      <w:bookmarkStart w:id="1235" w:name="_Toc13831"/>
      <w:bookmarkStart w:id="1236" w:name="_Toc31825"/>
      <w:bookmarkStart w:id="1237" w:name="_Toc31879"/>
      <w:bookmarkStart w:id="1238" w:name="_Toc5461"/>
      <w:bookmarkStart w:id="1239" w:name="_Toc18155"/>
      <w:bookmarkStart w:id="1240" w:name="_Toc15488"/>
      <w:bookmarkStart w:id="1241" w:name="_Toc15570"/>
      <w:bookmarkStart w:id="1242" w:name="_Toc12897"/>
      <w:r>
        <w:rPr>
          <w:rFonts w:hint="eastAsia" w:ascii="仿宋" w:hAnsi="仿宋" w:eastAsia="仿宋" w:cs="仿宋"/>
          <w:b/>
          <w:sz w:val="32"/>
          <w:szCs w:val="32"/>
        </w:rPr>
        <w:t>5.1.6 线下追偿的发起登记</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金融机构作为贴现的贴入人，因纸票到期未解付，作为持票人或在被追偿并履行债务后，可向其前手发起线下的再追偿，并在票交所登记线下追偿的发起信息。</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0"/>
          <w:numId w:val="21"/>
        </w:numPr>
        <w:spacing w:line="590" w:lineRule="exact"/>
        <w:ind w:firstLine="640" w:firstLineChars="200"/>
        <w:rPr>
          <w:rFonts w:ascii="仿宋" w:hAnsi="仿宋" w:eastAsia="仿宋"/>
          <w:sz w:val="32"/>
          <w:szCs w:val="32"/>
        </w:rPr>
      </w:pPr>
      <w:r>
        <w:rPr>
          <w:rFonts w:hint="eastAsia" w:ascii="仿宋" w:hAnsi="仿宋" w:eastAsia="仿宋"/>
          <w:sz w:val="32"/>
          <w:szCs w:val="32"/>
        </w:rPr>
        <w:t>业务要素</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已贴现纸票到期提示付款未解付，贴现的贴入人发起线下追偿登记，登记类型为“线下追偿的发起登记”。</w:t>
      </w:r>
    </w:p>
    <w:p>
      <w:pPr>
        <w:numPr>
          <w:ilvl w:val="0"/>
          <w:numId w:val="21"/>
        </w:numPr>
        <w:spacing w:line="590" w:lineRule="exact"/>
        <w:ind w:firstLine="640" w:firstLineChars="200"/>
        <w:rPr>
          <w:rFonts w:ascii="仿宋" w:hAnsi="仿宋" w:eastAsia="仿宋"/>
          <w:sz w:val="32"/>
          <w:szCs w:val="32"/>
        </w:rPr>
      </w:pPr>
      <w:r>
        <w:rPr>
          <w:rFonts w:hint="eastAsia" w:ascii="仿宋" w:hAnsi="仿宋" w:eastAsia="仿宋"/>
          <w:sz w:val="32"/>
          <w:szCs w:val="32"/>
        </w:rPr>
        <w:t>业务主体</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登记机构为贴现的贴入人。</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贴入人向票交所发起线下追偿登记申请，需提供的要素信息包括：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（2）线下追偿登记类型（“追偿的发起登记”）；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（3）追偿发起日期；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（4）被追偿人名称、被追偿人账号、被追偿人开户行行号、被追偿人统一社会信用代码；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4.纸票在票交所的库存状态更新为“线下出库”。</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243" w:name="_Toc14208"/>
      <w:bookmarkStart w:id="1244" w:name="_Toc2104125415"/>
      <w:bookmarkStart w:id="1245" w:name="_Toc30382"/>
      <w:bookmarkStart w:id="1246" w:name="_Toc28648"/>
      <w:bookmarkStart w:id="1247" w:name="_Toc4453"/>
      <w:bookmarkStart w:id="1248" w:name="_Toc12659"/>
      <w:bookmarkStart w:id="1249" w:name="_Toc19753"/>
      <w:bookmarkStart w:id="1250" w:name="_Toc2475"/>
      <w:bookmarkStart w:id="1251" w:name="_Toc3905"/>
      <w:bookmarkStart w:id="1252" w:name="_Toc616"/>
      <w:bookmarkStart w:id="1253" w:name="_Toc13101"/>
      <w:bookmarkStart w:id="1254" w:name="_Toc14572"/>
      <w:bookmarkStart w:id="1255" w:name="_Toc15125"/>
      <w:bookmarkStart w:id="1256" w:name="_Toc17314"/>
      <w:r>
        <w:rPr>
          <w:rFonts w:hint="eastAsia" w:ascii="仿宋" w:hAnsi="仿宋" w:eastAsia="仿宋" w:cs="仿宋"/>
          <w:b/>
          <w:sz w:val="32"/>
          <w:szCs w:val="32"/>
        </w:rPr>
        <w:t>5.1.7 线下追偿的偿付登记</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pPr>
        <w:spacing w:line="590" w:lineRule="exact"/>
        <w:ind w:firstLine="643" w:firstLineChars="200"/>
        <w:rPr>
          <w:rFonts w:ascii="仿宋" w:hAnsi="仿宋" w:eastAsia="仿宋"/>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金融机构作为贴现的贴入人，因纸票到期未解付而被追偿的，在履行债务并向其前手线下再追偿获得偿付后，在票交所登记线下追偿的偿付信息。</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0"/>
          <w:numId w:val="22"/>
        </w:numPr>
        <w:spacing w:line="590" w:lineRule="exact"/>
        <w:ind w:firstLine="640" w:firstLineChars="200"/>
        <w:rPr>
          <w:rFonts w:ascii="仿宋" w:hAnsi="仿宋" w:eastAsia="仿宋"/>
          <w:sz w:val="32"/>
          <w:szCs w:val="32"/>
        </w:rPr>
      </w:pPr>
      <w:r>
        <w:rPr>
          <w:rFonts w:hint="eastAsia" w:ascii="仿宋" w:hAnsi="仿宋" w:eastAsia="仿宋"/>
          <w:sz w:val="32"/>
          <w:szCs w:val="32"/>
        </w:rPr>
        <w:t>业务要素</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（1）已贴现纸票，且贴现的贴入人应已办理线下追偿登记（登记类型为“线下追偿的发起登记”）。</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（2）线下追偿登记的登记类型应为“线下追偿的偿付登记”。</w:t>
      </w:r>
    </w:p>
    <w:p>
      <w:pPr>
        <w:numPr>
          <w:ilvl w:val="0"/>
          <w:numId w:val="22"/>
        </w:numPr>
        <w:spacing w:line="590" w:lineRule="exact"/>
        <w:ind w:firstLine="640" w:firstLineChars="200"/>
        <w:rPr>
          <w:rFonts w:ascii="仿宋" w:hAnsi="仿宋" w:eastAsia="仿宋"/>
          <w:sz w:val="32"/>
          <w:szCs w:val="32"/>
        </w:rPr>
      </w:pPr>
      <w:r>
        <w:rPr>
          <w:rFonts w:hint="eastAsia" w:ascii="仿宋" w:hAnsi="仿宋" w:eastAsia="仿宋"/>
          <w:sz w:val="32"/>
          <w:szCs w:val="32"/>
        </w:rPr>
        <w:t>业务主体</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登记机构为贴现的贴入人。</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贴入人向票交所发起线下追偿登记申请，需提供的要素信息包括：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（2）线下追偿登记类型（“追偿的偿付登记”）；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（3）追偿付款日期；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（4）被追偿人名称、被追偿人账号、被追偿人开户行行号、被追偿人统一社会信用代码；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4.纸票在票交所的库存状态更新为“销库”。</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257" w:name="_Toc7720"/>
      <w:bookmarkStart w:id="1258" w:name="_Toc9361"/>
      <w:bookmarkStart w:id="1259" w:name="_Toc12867"/>
      <w:bookmarkStart w:id="1260" w:name="_Toc19901"/>
      <w:bookmarkStart w:id="1261" w:name="_Toc899255583"/>
      <w:bookmarkStart w:id="1262" w:name="_Toc3756"/>
      <w:bookmarkStart w:id="1263" w:name="_Toc31531"/>
      <w:bookmarkStart w:id="1264" w:name="_Toc7706"/>
      <w:bookmarkStart w:id="1265" w:name="_Toc27596"/>
      <w:bookmarkStart w:id="1266" w:name="_Toc27843"/>
      <w:bookmarkStart w:id="1267" w:name="_Toc16858"/>
      <w:bookmarkStart w:id="1268" w:name="_Toc28180"/>
      <w:bookmarkStart w:id="1269" w:name="_Toc23986"/>
      <w:bookmarkStart w:id="1270" w:name="_Toc16685"/>
      <w:r>
        <w:rPr>
          <w:rFonts w:hint="eastAsia" w:ascii="仿宋" w:hAnsi="仿宋" w:eastAsia="仿宋" w:cs="仿宋"/>
          <w:b/>
          <w:sz w:val="32"/>
          <w:szCs w:val="32"/>
        </w:rPr>
        <w:t>5.1.8 追偿结清登记</w:t>
      </w:r>
      <w:bookmarkEnd w:id="1240"/>
      <w:bookmarkEnd w:id="1241"/>
      <w:bookmarkEnd w:id="1242"/>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金融机构作为纸票的解付行，在已贴现纸票到期托收未解付、被追偿后履行债务偿付后，在票交所登记追偿结清信息。</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ascii="仿宋" w:hAnsi="仿宋" w:eastAsia="仿宋"/>
          <w:sz w:val="32"/>
          <w:szCs w:val="32"/>
        </w:rPr>
        <w:t>纸票</w:t>
      </w:r>
      <w:r>
        <w:rPr>
          <w:rFonts w:hint="eastAsia" w:ascii="仿宋" w:hAnsi="仿宋" w:eastAsia="仿宋"/>
          <w:sz w:val="32"/>
          <w:szCs w:val="32"/>
        </w:rPr>
        <w:t>在票交所的</w:t>
      </w:r>
      <w:r>
        <w:rPr>
          <w:rFonts w:ascii="仿宋" w:hAnsi="仿宋" w:eastAsia="仿宋"/>
          <w:sz w:val="32"/>
          <w:szCs w:val="32"/>
        </w:rPr>
        <w:t>库存状态</w:t>
      </w:r>
      <w:r>
        <w:rPr>
          <w:rFonts w:hint="eastAsia" w:ascii="仿宋" w:hAnsi="仿宋" w:eastAsia="仿宋"/>
          <w:sz w:val="32"/>
          <w:szCs w:val="32"/>
        </w:rPr>
        <w:t>需</w:t>
      </w:r>
      <w:r>
        <w:rPr>
          <w:rFonts w:ascii="仿宋" w:hAnsi="仿宋" w:eastAsia="仿宋"/>
          <w:sz w:val="32"/>
          <w:szCs w:val="32"/>
        </w:rPr>
        <w:t>为</w:t>
      </w:r>
      <w:r>
        <w:rPr>
          <w:rFonts w:hint="eastAsia" w:ascii="仿宋" w:hAnsi="仿宋" w:eastAsia="仿宋"/>
          <w:sz w:val="32"/>
          <w:szCs w:val="32"/>
        </w:rPr>
        <w:t>“</w:t>
      </w:r>
      <w:r>
        <w:rPr>
          <w:rFonts w:ascii="仿宋" w:hAnsi="仿宋" w:eastAsia="仿宋"/>
          <w:sz w:val="32"/>
          <w:szCs w:val="32"/>
        </w:rPr>
        <w:t>销库</w:t>
      </w:r>
      <w:r>
        <w:rPr>
          <w:rFonts w:hint="eastAsia" w:ascii="仿宋" w:hAnsi="仿宋" w:eastAsia="仿宋"/>
          <w:sz w:val="32"/>
          <w:szCs w:val="32"/>
        </w:rPr>
        <w:t>”或“</w:t>
      </w:r>
      <w:r>
        <w:rPr>
          <w:rFonts w:ascii="仿宋" w:hAnsi="仿宋" w:eastAsia="仿宋"/>
          <w:sz w:val="32"/>
          <w:szCs w:val="32"/>
        </w:rPr>
        <w:t>线下出库</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登记机构为解付行。</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1.解付行</w:t>
      </w:r>
      <w:r>
        <w:rPr>
          <w:rFonts w:hint="eastAsia" w:ascii="仿宋" w:hAnsi="仿宋" w:eastAsia="仿宋"/>
          <w:sz w:val="32"/>
          <w:szCs w:val="32"/>
        </w:rPr>
        <w:t>向票交所</w:t>
      </w:r>
      <w:r>
        <w:rPr>
          <w:rFonts w:ascii="仿宋" w:hAnsi="仿宋" w:eastAsia="仿宋"/>
          <w:sz w:val="32"/>
          <w:szCs w:val="32"/>
        </w:rPr>
        <w:t>发起追偿结清登记申请，需提供的要素信息包括：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（2）付款日期、付款机构的参与者代码；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（3）追偿人名称、追偿人账号、追偿人开户行行号、追偿人统一社会信用代码；</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（4）备注。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lang w:bidi="ar"/>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lang w:bidi="ar"/>
        </w:rPr>
      </w:pPr>
      <w:r>
        <w:rPr>
          <w:rFonts w:hint="eastAsia" w:ascii="仿宋" w:hAnsi="仿宋" w:eastAsia="仿宋"/>
          <w:sz w:val="32"/>
          <w:szCs w:val="32"/>
          <w:lang w:bidi="ar"/>
        </w:rPr>
        <w:t>4.</w:t>
      </w:r>
      <w:r>
        <w:rPr>
          <w:rFonts w:hint="eastAsia" w:ascii="仿宋" w:hAnsi="仿宋" w:eastAsia="仿宋"/>
          <w:sz w:val="32"/>
          <w:szCs w:val="32"/>
        </w:rPr>
        <w:t>纸票在票交所的库存状态更新为“销库”。</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271" w:name="_Toc25595"/>
      <w:bookmarkStart w:id="1272" w:name="_Toc31148"/>
      <w:bookmarkStart w:id="1273" w:name="_Toc31035"/>
      <w:bookmarkStart w:id="1274" w:name="_Toc11081"/>
      <w:bookmarkStart w:id="1275" w:name="_Toc2835"/>
      <w:bookmarkStart w:id="1276" w:name="_Toc8700"/>
      <w:bookmarkStart w:id="1277" w:name="_Toc27957"/>
      <w:bookmarkStart w:id="1278" w:name="_Toc25356"/>
      <w:bookmarkStart w:id="1279" w:name="_Toc16103"/>
      <w:bookmarkStart w:id="1280" w:name="_Toc3128"/>
      <w:bookmarkStart w:id="1281" w:name="_Toc4383"/>
      <w:bookmarkStart w:id="1282" w:name="_Toc18682"/>
      <w:bookmarkStart w:id="1283" w:name="_Toc13414"/>
      <w:bookmarkStart w:id="1284" w:name="_Toc22727"/>
      <w:bookmarkStart w:id="1285" w:name="_Toc823841621"/>
      <w:bookmarkStart w:id="1286" w:name="_Toc26545"/>
      <w:bookmarkStart w:id="1287" w:name="_Toc30066"/>
      <w:r>
        <w:rPr>
          <w:rFonts w:hint="eastAsia" w:ascii="仿宋" w:hAnsi="仿宋" w:eastAsia="仿宋" w:cs="仿宋"/>
          <w:b/>
          <w:sz w:val="32"/>
          <w:szCs w:val="32"/>
        </w:rPr>
        <w:t>5.1.9 止付及止付解除信息登记</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spacing w:line="590" w:lineRule="exact"/>
        <w:ind w:firstLine="643" w:firstLineChars="200"/>
        <w:outlineLvl w:val="3"/>
        <w:rPr>
          <w:rFonts w:ascii="仿宋" w:hAnsi="仿宋" w:eastAsia="仿宋"/>
          <w:b/>
          <w:bCs/>
          <w:sz w:val="32"/>
          <w:szCs w:val="32"/>
        </w:rPr>
      </w:pPr>
      <w:r>
        <w:rPr>
          <w:rFonts w:hint="eastAsia" w:ascii="仿宋" w:hAnsi="仿宋" w:eastAsia="仿宋"/>
          <w:b/>
          <w:bCs/>
          <w:sz w:val="32"/>
          <w:szCs w:val="32"/>
        </w:rPr>
        <w:t>5.1.9.1 止付信息登记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金融机构作为承兑人或承兑人开户行，如在票据解付前收到止付通知，在票交所办理止付信息登记。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1）止付信息登记的止付类型包括</w:t>
      </w:r>
      <w:r>
        <w:rPr>
          <w:rFonts w:hint="eastAsia" w:ascii="仿宋" w:hAnsi="仿宋" w:eastAsia="仿宋"/>
          <w:sz w:val="32"/>
          <w:szCs w:val="32"/>
        </w:rPr>
        <w:t>“</w:t>
      </w:r>
      <w:r>
        <w:rPr>
          <w:rFonts w:ascii="仿宋" w:hAnsi="仿宋" w:eastAsia="仿宋"/>
          <w:sz w:val="32"/>
          <w:szCs w:val="32"/>
        </w:rPr>
        <w:t>挂失止付</w:t>
      </w:r>
      <w:r>
        <w:rPr>
          <w:rFonts w:hint="eastAsia" w:ascii="仿宋" w:hAnsi="仿宋" w:eastAsia="仿宋"/>
          <w:sz w:val="32"/>
          <w:szCs w:val="32"/>
        </w:rPr>
        <w:t>”</w:t>
      </w:r>
      <w:r>
        <w:rPr>
          <w:rFonts w:ascii="仿宋" w:hAnsi="仿宋" w:eastAsia="仿宋"/>
          <w:sz w:val="32"/>
          <w:szCs w:val="32"/>
        </w:rPr>
        <w:t>、</w:t>
      </w:r>
      <w:r>
        <w:rPr>
          <w:rFonts w:hint="eastAsia" w:ascii="仿宋" w:hAnsi="仿宋" w:eastAsia="仿宋"/>
          <w:sz w:val="32"/>
          <w:szCs w:val="32"/>
        </w:rPr>
        <w:t>“</w:t>
      </w:r>
      <w:r>
        <w:rPr>
          <w:rFonts w:ascii="仿宋" w:hAnsi="仿宋" w:eastAsia="仿宋"/>
          <w:sz w:val="32"/>
          <w:szCs w:val="32"/>
        </w:rPr>
        <w:t>公示催告</w:t>
      </w:r>
      <w:r>
        <w:rPr>
          <w:rFonts w:hint="eastAsia" w:ascii="仿宋" w:hAnsi="仿宋" w:eastAsia="仿宋"/>
          <w:sz w:val="32"/>
          <w:szCs w:val="32"/>
        </w:rPr>
        <w:t>”</w:t>
      </w:r>
      <w:r>
        <w:rPr>
          <w:rFonts w:ascii="仿宋" w:hAnsi="仿宋" w:eastAsia="仿宋"/>
          <w:sz w:val="32"/>
          <w:szCs w:val="32"/>
        </w:rPr>
        <w:t>和</w:t>
      </w:r>
      <w:r>
        <w:rPr>
          <w:rFonts w:hint="eastAsia" w:ascii="仿宋" w:hAnsi="仿宋" w:eastAsia="仿宋"/>
          <w:sz w:val="32"/>
          <w:szCs w:val="32"/>
        </w:rPr>
        <w:t>“</w:t>
      </w:r>
      <w:r>
        <w:rPr>
          <w:rFonts w:ascii="仿宋" w:hAnsi="仿宋" w:eastAsia="仿宋"/>
          <w:sz w:val="32"/>
          <w:szCs w:val="32"/>
        </w:rPr>
        <w:t>司法冻结</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收到失票人的挂失止付通知书，登记止付类型为</w:t>
      </w:r>
      <w:r>
        <w:rPr>
          <w:rFonts w:hint="eastAsia" w:ascii="仿宋" w:hAnsi="仿宋" w:eastAsia="仿宋"/>
          <w:sz w:val="32"/>
          <w:szCs w:val="32"/>
        </w:rPr>
        <w:t>“</w:t>
      </w:r>
      <w:r>
        <w:rPr>
          <w:rFonts w:ascii="仿宋" w:hAnsi="仿宋" w:eastAsia="仿宋"/>
          <w:sz w:val="32"/>
          <w:szCs w:val="32"/>
        </w:rPr>
        <w:t>挂失止付</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收到人民法院停止支付通知书，登记止付类型为</w:t>
      </w:r>
      <w:r>
        <w:rPr>
          <w:rFonts w:hint="eastAsia" w:ascii="仿宋" w:hAnsi="仿宋" w:eastAsia="仿宋"/>
          <w:sz w:val="32"/>
          <w:szCs w:val="32"/>
        </w:rPr>
        <w:t>“</w:t>
      </w:r>
      <w:r>
        <w:rPr>
          <w:rFonts w:ascii="仿宋" w:hAnsi="仿宋" w:eastAsia="仿宋"/>
          <w:sz w:val="32"/>
          <w:szCs w:val="32"/>
        </w:rPr>
        <w:t>公示催告</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收到司法冻结的相关法律文书，登记止付类型为</w:t>
      </w:r>
      <w:r>
        <w:rPr>
          <w:rFonts w:hint="eastAsia" w:ascii="仿宋" w:hAnsi="仿宋" w:eastAsia="仿宋"/>
          <w:sz w:val="32"/>
          <w:szCs w:val="32"/>
        </w:rPr>
        <w:t>“</w:t>
      </w:r>
      <w:r>
        <w:rPr>
          <w:rFonts w:ascii="仿宋" w:hAnsi="仿宋" w:eastAsia="仿宋"/>
          <w:sz w:val="32"/>
          <w:szCs w:val="32"/>
        </w:rPr>
        <w:t>司法冻结</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2）登记为</w:t>
      </w:r>
      <w:r>
        <w:rPr>
          <w:rFonts w:hint="eastAsia" w:ascii="仿宋" w:hAnsi="仿宋" w:eastAsia="仿宋"/>
          <w:sz w:val="32"/>
          <w:szCs w:val="32"/>
        </w:rPr>
        <w:t>“</w:t>
      </w:r>
      <w:r>
        <w:rPr>
          <w:rFonts w:ascii="仿宋" w:hAnsi="仿宋" w:eastAsia="仿宋"/>
          <w:sz w:val="32"/>
          <w:szCs w:val="32"/>
        </w:rPr>
        <w:t>挂失止付</w:t>
      </w:r>
      <w:r>
        <w:rPr>
          <w:rFonts w:hint="eastAsia" w:ascii="仿宋" w:hAnsi="仿宋" w:eastAsia="仿宋"/>
          <w:sz w:val="32"/>
          <w:szCs w:val="32"/>
        </w:rPr>
        <w:t>”</w:t>
      </w:r>
      <w:r>
        <w:rPr>
          <w:rFonts w:ascii="仿宋" w:hAnsi="仿宋" w:eastAsia="仿宋"/>
          <w:sz w:val="32"/>
          <w:szCs w:val="32"/>
        </w:rPr>
        <w:t>的票据，可在止付信息未解除的情况下再次登记为</w:t>
      </w:r>
      <w:r>
        <w:rPr>
          <w:rFonts w:hint="eastAsia" w:ascii="仿宋" w:hAnsi="仿宋" w:eastAsia="仿宋"/>
          <w:sz w:val="32"/>
          <w:szCs w:val="32"/>
        </w:rPr>
        <w:t>“</w:t>
      </w:r>
      <w:r>
        <w:rPr>
          <w:rFonts w:ascii="仿宋" w:hAnsi="仿宋" w:eastAsia="仿宋"/>
          <w:sz w:val="32"/>
          <w:szCs w:val="32"/>
        </w:rPr>
        <w:t>公示催告</w:t>
      </w:r>
      <w:r>
        <w:rPr>
          <w:rFonts w:hint="eastAsia" w:ascii="仿宋" w:hAnsi="仿宋" w:eastAsia="仿宋"/>
          <w:sz w:val="32"/>
          <w:szCs w:val="32"/>
        </w:rPr>
        <w:t>”</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登记为其他止付类型的票据，如止付信息未解除，不可再进行止付信息登记。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登记机构为纸票的承兑人（纸银）、承兑人开户行（纸商）或解付行。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业务</w:t>
      </w:r>
      <w:r>
        <w:rPr>
          <w:rFonts w:ascii="仿宋" w:hAnsi="仿宋" w:eastAsia="仿宋"/>
          <w:sz w:val="32"/>
          <w:szCs w:val="32"/>
        </w:rPr>
        <w:t>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登记机构</w:t>
      </w:r>
      <w:r>
        <w:rPr>
          <w:rFonts w:hint="eastAsia" w:ascii="仿宋" w:hAnsi="仿宋" w:eastAsia="仿宋"/>
          <w:sz w:val="32"/>
          <w:szCs w:val="32"/>
          <w:lang w:eastAsia="zh-Hans"/>
        </w:rPr>
        <w:t>应</w:t>
      </w:r>
      <w:r>
        <w:rPr>
          <w:rFonts w:hint="eastAsia" w:ascii="仿宋" w:hAnsi="仿宋" w:eastAsia="仿宋"/>
          <w:sz w:val="32"/>
          <w:szCs w:val="32"/>
        </w:rPr>
        <w:t>在收到止付通知的当日，在票交所进行止付信息登记。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登记机构向票交所发起止付信息登记申请，需提供的要素信息包括：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（2）止付日期、止付类型、止付原因；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（3）止付申请人名称、止付申请人账号、止付申请人开户行行号、止付申请人统一社会信用代码；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（4）影像批次号等止付通知文书等的影像信息；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4.止付信息登记完成后，票据在票交所的风险状态更新为“挂失止付”、“公示催告”或“司法冻结”。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5.完成止付信息登记后，票交所向全市场发送纸票的止付登记信息通知，通知的要素信息包括：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（2）止付日期、止付登记时间、止付类型、止付原因；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（3）止付申请人名称、止付申请人账号、止付申请人开户行行号、止付申请人统一社会信用代码；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（4）影像批次号等止付通知文书等的影像信息；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（5）止付信息登记的备注。</w:t>
      </w:r>
    </w:p>
    <w:p>
      <w:pPr>
        <w:spacing w:line="590" w:lineRule="exact"/>
        <w:ind w:firstLine="640" w:firstLineChars="200"/>
        <w:rPr>
          <w:rFonts w:ascii="仿宋" w:hAnsi="仿宋" w:eastAsia="仿宋"/>
          <w:sz w:val="32"/>
          <w:szCs w:val="32"/>
        </w:rPr>
      </w:pPr>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5.1.9.2 止付解除信息登记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金融机构作为承兑人或承兑人开户行，在收到解除止付通知后，可在票交所办理止付解除信息登记。</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（1）票据在票交所的风险状态为“挂失止付”、“公示催告”或“司法冻结”。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（2）止付类型为挂失止付，解除止付类型为“挂失止付到期”；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止付类型为司法冻结，解除止付类型为“解除司法冻结”；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止付类型为公示催告，解除止付类型为“公示催告解除”或者“除权判决”。</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如果</w:t>
      </w:r>
      <w:r>
        <w:rPr>
          <w:rFonts w:hint="eastAsia" w:ascii="仿宋" w:hAnsi="仿宋" w:eastAsia="仿宋"/>
          <w:sz w:val="32"/>
          <w:szCs w:val="32"/>
        </w:rPr>
        <w:t>待登记的票据当前处于业务的</w:t>
      </w:r>
      <w:r>
        <w:rPr>
          <w:rFonts w:ascii="仿宋" w:hAnsi="仿宋" w:eastAsia="仿宋"/>
          <w:sz w:val="32"/>
          <w:szCs w:val="32"/>
        </w:rPr>
        <w:t>清</w:t>
      </w:r>
      <w:r>
        <w:rPr>
          <w:rFonts w:hint="eastAsia" w:ascii="仿宋" w:hAnsi="仿宋" w:eastAsia="仿宋"/>
          <w:sz w:val="32"/>
          <w:szCs w:val="32"/>
          <w:lang w:eastAsia="zh-CN"/>
        </w:rPr>
        <w:t>算</w:t>
      </w:r>
      <w:r>
        <w:rPr>
          <w:rFonts w:hint="eastAsia" w:ascii="仿宋" w:hAnsi="仿宋" w:eastAsia="仿宋"/>
          <w:sz w:val="32"/>
          <w:szCs w:val="32"/>
        </w:rPr>
        <w:t>结</w:t>
      </w:r>
      <w:r>
        <w:rPr>
          <w:rFonts w:ascii="仿宋" w:hAnsi="仿宋" w:eastAsia="仿宋"/>
          <w:sz w:val="32"/>
          <w:szCs w:val="32"/>
        </w:rPr>
        <w:t>算流程，不</w:t>
      </w:r>
      <w:r>
        <w:rPr>
          <w:rFonts w:hint="eastAsia" w:ascii="仿宋" w:hAnsi="仿宋" w:eastAsia="仿宋"/>
          <w:sz w:val="32"/>
          <w:szCs w:val="32"/>
        </w:rPr>
        <w:t>可</w:t>
      </w:r>
      <w:r>
        <w:rPr>
          <w:rFonts w:ascii="仿宋" w:hAnsi="仿宋" w:eastAsia="仿宋"/>
          <w:sz w:val="32"/>
          <w:szCs w:val="32"/>
        </w:rPr>
        <w:t>做</w:t>
      </w:r>
      <w:r>
        <w:rPr>
          <w:rFonts w:hint="eastAsia" w:ascii="仿宋" w:hAnsi="仿宋" w:eastAsia="仿宋"/>
          <w:sz w:val="32"/>
          <w:szCs w:val="32"/>
        </w:rPr>
        <w:t>类型为“</w:t>
      </w:r>
      <w:r>
        <w:rPr>
          <w:rFonts w:ascii="仿宋" w:hAnsi="仿宋" w:eastAsia="仿宋"/>
          <w:sz w:val="32"/>
          <w:szCs w:val="32"/>
        </w:rPr>
        <w:t>除权判决</w:t>
      </w:r>
      <w:r>
        <w:rPr>
          <w:rFonts w:hint="eastAsia" w:ascii="仿宋" w:hAnsi="仿宋" w:eastAsia="仿宋"/>
          <w:sz w:val="32"/>
          <w:szCs w:val="32"/>
        </w:rPr>
        <w:t>”的止付解除信息登记</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）登记机构</w:t>
      </w:r>
      <w:r>
        <w:rPr>
          <w:rFonts w:hint="eastAsia" w:ascii="仿宋" w:hAnsi="仿宋" w:eastAsia="仿宋"/>
          <w:sz w:val="32"/>
          <w:szCs w:val="32"/>
        </w:rPr>
        <w:t>需为纸票的承兑人（纸银）、</w:t>
      </w:r>
      <w:r>
        <w:rPr>
          <w:rFonts w:ascii="仿宋" w:hAnsi="仿宋" w:eastAsia="仿宋"/>
          <w:sz w:val="32"/>
          <w:szCs w:val="32"/>
        </w:rPr>
        <w:t>承兑人开户行</w:t>
      </w:r>
      <w:r>
        <w:rPr>
          <w:rFonts w:hint="eastAsia" w:ascii="仿宋" w:hAnsi="仿宋" w:eastAsia="仿宋"/>
          <w:sz w:val="32"/>
          <w:szCs w:val="32"/>
        </w:rPr>
        <w:t>（纸商）</w:t>
      </w:r>
      <w:r>
        <w:rPr>
          <w:rFonts w:ascii="仿宋" w:hAnsi="仿宋" w:eastAsia="仿宋"/>
          <w:sz w:val="32"/>
          <w:szCs w:val="32"/>
        </w:rPr>
        <w:t>或解付行。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）止付解除</w:t>
      </w:r>
      <w:r>
        <w:rPr>
          <w:rFonts w:hint="eastAsia" w:ascii="仿宋" w:hAnsi="仿宋" w:eastAsia="仿宋"/>
          <w:sz w:val="32"/>
          <w:szCs w:val="32"/>
        </w:rPr>
        <w:t>信息的登记</w:t>
      </w:r>
      <w:r>
        <w:rPr>
          <w:rFonts w:ascii="仿宋" w:hAnsi="仿宋" w:eastAsia="仿宋"/>
          <w:sz w:val="32"/>
          <w:szCs w:val="32"/>
        </w:rPr>
        <w:t>机构</w:t>
      </w:r>
      <w:r>
        <w:rPr>
          <w:rFonts w:hint="eastAsia" w:ascii="仿宋" w:hAnsi="仿宋" w:eastAsia="仿宋"/>
          <w:sz w:val="32"/>
          <w:szCs w:val="32"/>
        </w:rPr>
        <w:t>需与</w:t>
      </w:r>
      <w:r>
        <w:rPr>
          <w:rFonts w:ascii="仿宋" w:hAnsi="仿宋" w:eastAsia="仿宋"/>
          <w:sz w:val="32"/>
          <w:szCs w:val="32"/>
        </w:rPr>
        <w:t>止付</w:t>
      </w:r>
      <w:r>
        <w:rPr>
          <w:rFonts w:hint="eastAsia" w:ascii="仿宋" w:hAnsi="仿宋" w:eastAsia="仿宋"/>
          <w:sz w:val="32"/>
          <w:szCs w:val="32"/>
        </w:rPr>
        <w:t>信息的登记</w:t>
      </w:r>
      <w:r>
        <w:rPr>
          <w:rFonts w:ascii="仿宋" w:hAnsi="仿宋" w:eastAsia="仿宋"/>
          <w:sz w:val="32"/>
          <w:szCs w:val="32"/>
        </w:rPr>
        <w:t>机构一致。</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 xml:space="preserve"> [业务流程]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登记机构向票交所</w:t>
      </w:r>
      <w:r>
        <w:rPr>
          <w:rFonts w:ascii="仿宋" w:hAnsi="仿宋" w:eastAsia="仿宋"/>
          <w:sz w:val="32"/>
          <w:szCs w:val="32"/>
        </w:rPr>
        <w:t>发起</w:t>
      </w:r>
      <w:r>
        <w:rPr>
          <w:rFonts w:hint="eastAsia" w:ascii="仿宋" w:hAnsi="仿宋" w:eastAsia="仿宋"/>
          <w:sz w:val="32"/>
          <w:szCs w:val="32"/>
        </w:rPr>
        <w:t>止付解除信息登记申请，需提供的要素信息包括：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（2）解除止付日期、解除止付原因、解除止付类型；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（3）影像批次号等解除止付通知文书等的影像信息；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票交所接收申请信息并校验，如果登记信息判断无误，则登记成功；如果登记信息判断有误，则登记失败，票交所反馈错误原因。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3.使用票交所客户端办理</w:t>
      </w:r>
      <w:r>
        <w:rPr>
          <w:rFonts w:hint="eastAsia" w:ascii="仿宋" w:hAnsi="仿宋" w:eastAsia="仿宋"/>
          <w:sz w:val="32"/>
          <w:szCs w:val="32"/>
          <w:lang w:bidi="ar"/>
        </w:rPr>
        <w:t>信息登记的登记机构，需由复核操作员对经办操作员录入的登记信息逐一核对，核对无误、并确认复核通过的，完成信息登记。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.登记</w:t>
      </w:r>
      <w:r>
        <w:rPr>
          <w:rFonts w:hint="eastAsia" w:ascii="仿宋" w:hAnsi="仿宋" w:eastAsia="仿宋"/>
          <w:sz w:val="32"/>
          <w:szCs w:val="32"/>
        </w:rPr>
        <w:t>的</w:t>
      </w:r>
      <w:r>
        <w:rPr>
          <w:rFonts w:ascii="仿宋" w:hAnsi="仿宋" w:eastAsia="仿宋"/>
          <w:sz w:val="32"/>
          <w:szCs w:val="32"/>
        </w:rPr>
        <w:t>止付解除类型为</w:t>
      </w:r>
      <w:r>
        <w:rPr>
          <w:rFonts w:hint="eastAsia" w:ascii="仿宋" w:hAnsi="仿宋" w:eastAsia="仿宋"/>
          <w:sz w:val="32"/>
          <w:szCs w:val="32"/>
        </w:rPr>
        <w:t>“</w:t>
      </w:r>
      <w:r>
        <w:rPr>
          <w:rFonts w:ascii="仿宋" w:hAnsi="仿宋" w:eastAsia="仿宋"/>
          <w:sz w:val="32"/>
          <w:szCs w:val="32"/>
        </w:rPr>
        <w:t>挂失止付到期</w:t>
      </w:r>
      <w:r>
        <w:rPr>
          <w:rFonts w:hint="eastAsia" w:ascii="仿宋" w:hAnsi="仿宋" w:eastAsia="仿宋"/>
          <w:sz w:val="32"/>
          <w:szCs w:val="32"/>
        </w:rPr>
        <w:t>”、“</w:t>
      </w:r>
      <w:r>
        <w:rPr>
          <w:rFonts w:ascii="仿宋" w:hAnsi="仿宋" w:eastAsia="仿宋"/>
          <w:sz w:val="32"/>
          <w:szCs w:val="32"/>
        </w:rPr>
        <w:t>公示催告解除</w:t>
      </w:r>
      <w:r>
        <w:rPr>
          <w:rFonts w:hint="eastAsia" w:ascii="仿宋" w:hAnsi="仿宋" w:eastAsia="仿宋"/>
          <w:sz w:val="32"/>
          <w:szCs w:val="32"/>
        </w:rPr>
        <w:t>”、“</w:t>
      </w:r>
      <w:r>
        <w:rPr>
          <w:rFonts w:ascii="仿宋" w:hAnsi="仿宋" w:eastAsia="仿宋"/>
          <w:sz w:val="32"/>
          <w:szCs w:val="32"/>
        </w:rPr>
        <w:t>解除司法冻结</w:t>
      </w:r>
      <w:r>
        <w:rPr>
          <w:rFonts w:hint="eastAsia" w:ascii="仿宋" w:hAnsi="仿宋" w:eastAsia="仿宋"/>
          <w:sz w:val="32"/>
          <w:szCs w:val="32"/>
        </w:rPr>
        <w:t>”</w:t>
      </w:r>
      <w:r>
        <w:rPr>
          <w:rFonts w:ascii="仿宋" w:hAnsi="仿宋" w:eastAsia="仿宋"/>
          <w:sz w:val="32"/>
          <w:szCs w:val="32"/>
        </w:rPr>
        <w:t>，登记票据可继续正常开展后续业务；登记</w:t>
      </w:r>
      <w:r>
        <w:rPr>
          <w:rFonts w:hint="eastAsia" w:ascii="仿宋" w:hAnsi="仿宋" w:eastAsia="仿宋"/>
          <w:sz w:val="32"/>
          <w:szCs w:val="32"/>
        </w:rPr>
        <w:t>的</w:t>
      </w:r>
      <w:r>
        <w:rPr>
          <w:rFonts w:ascii="仿宋" w:hAnsi="仿宋" w:eastAsia="仿宋"/>
          <w:sz w:val="32"/>
          <w:szCs w:val="32"/>
        </w:rPr>
        <w:t>止付解除类型为</w:t>
      </w:r>
      <w:r>
        <w:rPr>
          <w:rFonts w:hint="eastAsia" w:ascii="仿宋" w:hAnsi="仿宋" w:eastAsia="仿宋"/>
          <w:sz w:val="32"/>
          <w:szCs w:val="32"/>
        </w:rPr>
        <w:t>“</w:t>
      </w:r>
      <w:r>
        <w:rPr>
          <w:rFonts w:ascii="仿宋" w:hAnsi="仿宋" w:eastAsia="仿宋"/>
          <w:sz w:val="32"/>
          <w:szCs w:val="32"/>
        </w:rPr>
        <w:t>除权判决</w:t>
      </w:r>
      <w:r>
        <w:rPr>
          <w:rFonts w:hint="eastAsia" w:ascii="仿宋" w:hAnsi="仿宋" w:eastAsia="仿宋"/>
          <w:sz w:val="32"/>
          <w:szCs w:val="32"/>
        </w:rPr>
        <w:t>”</w:t>
      </w:r>
      <w:r>
        <w:rPr>
          <w:rFonts w:ascii="仿宋" w:hAnsi="仿宋" w:eastAsia="仿宋"/>
          <w:sz w:val="32"/>
          <w:szCs w:val="32"/>
        </w:rPr>
        <w:t>，登记票据</w:t>
      </w:r>
      <w:r>
        <w:rPr>
          <w:rFonts w:hint="eastAsia" w:ascii="仿宋" w:hAnsi="仿宋" w:eastAsia="仿宋"/>
          <w:sz w:val="32"/>
          <w:szCs w:val="32"/>
        </w:rPr>
        <w:t>的</w:t>
      </w:r>
      <w:r>
        <w:rPr>
          <w:rFonts w:ascii="仿宋" w:hAnsi="仿宋" w:eastAsia="仿宋"/>
          <w:sz w:val="32"/>
          <w:szCs w:val="32"/>
        </w:rPr>
        <w:t>状态变更为“已终止”。</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5.登记机构在办理完成止付解除信息登记后，票交所向全市场发送纸票的止付解除登记信息通知，通知的要素信息包括：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（2）解除止付登记时间、解除止付日期、解除止付类型、解除止付原因；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（3）影像批次号等解除止付通知文书等的影像信息；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（4）止付解除信息登记的备注。</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288" w:name="_Toc32714"/>
      <w:bookmarkStart w:id="1289" w:name="_Toc499"/>
      <w:bookmarkStart w:id="1290" w:name="_Toc22778"/>
      <w:bookmarkStart w:id="1291" w:name="_Toc259524735"/>
      <w:bookmarkStart w:id="1292" w:name="_Toc5434"/>
      <w:bookmarkStart w:id="1293" w:name="_Toc7549"/>
      <w:bookmarkStart w:id="1294" w:name="_Toc21294"/>
      <w:bookmarkStart w:id="1295" w:name="_Toc20346"/>
      <w:bookmarkStart w:id="1296" w:name="_Toc16989"/>
      <w:bookmarkStart w:id="1297" w:name="_Toc30290"/>
      <w:bookmarkStart w:id="1298" w:name="_Toc10717"/>
      <w:bookmarkStart w:id="1299" w:name="_Toc26096"/>
      <w:bookmarkStart w:id="1300" w:name="_Toc10520"/>
      <w:bookmarkStart w:id="1301" w:name="_Toc5100"/>
      <w:bookmarkStart w:id="1302" w:name="_Toc344"/>
      <w:bookmarkStart w:id="1303" w:name="_Toc25473"/>
      <w:bookmarkStart w:id="1304" w:name="_Toc6213"/>
      <w:r>
        <w:rPr>
          <w:rFonts w:hint="eastAsia" w:ascii="仿宋" w:hAnsi="仿宋" w:eastAsia="仿宋" w:cs="仿宋"/>
          <w:b/>
          <w:sz w:val="32"/>
          <w:szCs w:val="32"/>
        </w:rPr>
        <w:t>5.2 登记信息的撤回</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纸票信息登记业务的登记机构完成信息登记后，在后续业务流程发起前，可申请撤回登记的信息。</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纸票完成承兑信息登记后，若未办理后续业务，可以办理承兑信息登记撤回（撤回信息类型包括“未用退回”、“票据作废”、“信息作废”）。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办理质押信息登记、质押解除信息登记、保证信息登记的机构可在登记</w:t>
      </w:r>
      <w:r>
        <w:rPr>
          <w:rFonts w:hint="eastAsia" w:ascii="仿宋" w:hAnsi="仿宋" w:eastAsia="仿宋"/>
          <w:b/>
          <w:sz w:val="32"/>
          <w:szCs w:val="32"/>
        </w:rPr>
        <w:t>当日</w:t>
      </w:r>
      <w:r>
        <w:rPr>
          <w:rFonts w:hint="eastAsia" w:ascii="仿宋" w:hAnsi="仿宋" w:eastAsia="仿宋"/>
          <w:sz w:val="32"/>
          <w:szCs w:val="32"/>
        </w:rPr>
        <w:t>撤回其登记生效但未启动后续业务流程的登记信息。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3）贴现</w:t>
      </w:r>
      <w:r>
        <w:rPr>
          <w:rFonts w:hint="eastAsia" w:ascii="仿宋" w:hAnsi="仿宋" w:eastAsia="仿宋"/>
          <w:sz w:val="32"/>
          <w:szCs w:val="32"/>
        </w:rPr>
        <w:t>信息</w:t>
      </w:r>
      <w:r>
        <w:rPr>
          <w:rFonts w:ascii="仿宋" w:hAnsi="仿宋" w:eastAsia="仿宋"/>
          <w:sz w:val="32"/>
          <w:szCs w:val="32"/>
        </w:rPr>
        <w:t>登记</w:t>
      </w:r>
      <w:r>
        <w:rPr>
          <w:rFonts w:hint="eastAsia" w:ascii="仿宋" w:hAnsi="仿宋" w:eastAsia="仿宋"/>
          <w:sz w:val="32"/>
          <w:szCs w:val="32"/>
        </w:rPr>
        <w:t>的</w:t>
      </w:r>
      <w:r>
        <w:rPr>
          <w:rFonts w:ascii="仿宋" w:hAnsi="仿宋" w:eastAsia="仿宋"/>
          <w:sz w:val="32"/>
          <w:szCs w:val="32"/>
        </w:rPr>
        <w:t>撤回</w:t>
      </w:r>
      <w:r>
        <w:rPr>
          <w:rFonts w:hint="eastAsia" w:ascii="仿宋" w:hAnsi="仿宋" w:eastAsia="仿宋"/>
          <w:sz w:val="32"/>
          <w:szCs w:val="32"/>
        </w:rPr>
        <w:t>，</w:t>
      </w:r>
      <w:r>
        <w:rPr>
          <w:rFonts w:ascii="仿宋" w:hAnsi="仿宋" w:eastAsia="仿宋"/>
          <w:sz w:val="32"/>
          <w:szCs w:val="32"/>
        </w:rPr>
        <w:t>可在未发生任何</w:t>
      </w:r>
      <w:r>
        <w:rPr>
          <w:rFonts w:hint="eastAsia" w:ascii="仿宋" w:hAnsi="仿宋" w:eastAsia="仿宋"/>
          <w:sz w:val="32"/>
          <w:szCs w:val="32"/>
        </w:rPr>
        <w:t>后续</w:t>
      </w:r>
      <w:r>
        <w:rPr>
          <w:rFonts w:ascii="仿宋" w:hAnsi="仿宋" w:eastAsia="仿宋"/>
          <w:sz w:val="32"/>
          <w:szCs w:val="32"/>
        </w:rPr>
        <w:t>业务、</w:t>
      </w:r>
      <w:r>
        <w:rPr>
          <w:rFonts w:hint="eastAsia" w:ascii="仿宋" w:hAnsi="仿宋" w:eastAsia="仿宋"/>
          <w:sz w:val="32"/>
          <w:szCs w:val="32"/>
        </w:rPr>
        <w:t>后续</w:t>
      </w:r>
      <w:r>
        <w:rPr>
          <w:rFonts w:ascii="仿宋" w:hAnsi="仿宋" w:eastAsia="仿宋"/>
          <w:sz w:val="32"/>
          <w:szCs w:val="32"/>
        </w:rPr>
        <w:t>业务发起后</w:t>
      </w:r>
      <w:r>
        <w:rPr>
          <w:rFonts w:hint="eastAsia" w:ascii="仿宋" w:hAnsi="仿宋" w:eastAsia="仿宋"/>
          <w:sz w:val="32"/>
          <w:szCs w:val="32"/>
        </w:rPr>
        <w:t>申请人</w:t>
      </w:r>
      <w:r>
        <w:rPr>
          <w:rFonts w:ascii="仿宋" w:hAnsi="仿宋" w:eastAsia="仿宋"/>
          <w:sz w:val="32"/>
          <w:szCs w:val="32"/>
        </w:rPr>
        <w:t>撤回、</w:t>
      </w:r>
      <w:r>
        <w:rPr>
          <w:rFonts w:hint="eastAsia" w:ascii="仿宋" w:hAnsi="仿宋" w:eastAsia="仿宋"/>
          <w:sz w:val="32"/>
          <w:szCs w:val="32"/>
        </w:rPr>
        <w:t>后续</w:t>
      </w:r>
      <w:r>
        <w:rPr>
          <w:rFonts w:ascii="仿宋" w:hAnsi="仿宋" w:eastAsia="仿宋"/>
          <w:sz w:val="32"/>
          <w:szCs w:val="32"/>
        </w:rPr>
        <w:t>业务发起后</w:t>
      </w:r>
      <w:r>
        <w:rPr>
          <w:rFonts w:hint="eastAsia" w:ascii="仿宋" w:hAnsi="仿宋" w:eastAsia="仿宋"/>
          <w:sz w:val="32"/>
          <w:szCs w:val="32"/>
        </w:rPr>
        <w:t>接收人</w:t>
      </w:r>
      <w:r>
        <w:rPr>
          <w:rFonts w:ascii="仿宋" w:hAnsi="仿宋" w:eastAsia="仿宋"/>
          <w:sz w:val="32"/>
          <w:szCs w:val="32"/>
        </w:rPr>
        <w:t>拒绝三种场景下办理。</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其中，业务发起后被申请人撤回的业务场景包括：库存移出申请撤回、手动发起的付款确认申请撤回、保证增信申请撤回、贴现保证申请撤回、（贴现后）质押申请撤回、提前提示付款申请撤回、非交易过户申请撤回；</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业务发起后被接收人拒绝的业务场景包括：库存移入应答拒绝、付款确认应答拒绝、保证增信应答拒绝、贴现后保证应答拒绝、贴现后质押应答拒绝、非交易过户应答拒绝。</w:t>
      </w:r>
    </w:p>
    <w:p>
      <w:pPr>
        <w:numPr>
          <w:ilvl w:val="0"/>
          <w:numId w:val="23"/>
        </w:numPr>
        <w:spacing w:line="590" w:lineRule="exact"/>
        <w:ind w:firstLine="640" w:firstLineChars="200"/>
        <w:rPr>
          <w:rFonts w:ascii="仿宋" w:hAnsi="仿宋" w:eastAsia="仿宋"/>
          <w:sz w:val="32"/>
          <w:szCs w:val="32"/>
        </w:rPr>
      </w:pPr>
      <w:r>
        <w:rPr>
          <w:rFonts w:hint="eastAsia" w:ascii="仿宋" w:hAnsi="仿宋" w:eastAsia="仿宋"/>
          <w:sz w:val="32"/>
          <w:szCs w:val="32"/>
        </w:rPr>
        <w:t>结清信息登记</w:t>
      </w:r>
      <w:r>
        <w:rPr>
          <w:rFonts w:ascii="仿宋" w:hAnsi="仿宋" w:eastAsia="仿宋"/>
          <w:sz w:val="32"/>
          <w:szCs w:val="32"/>
        </w:rPr>
        <w:t>后，</w:t>
      </w:r>
      <w:r>
        <w:rPr>
          <w:rFonts w:hint="eastAsia" w:ascii="仿宋" w:hAnsi="仿宋" w:eastAsia="仿宋"/>
          <w:sz w:val="32"/>
          <w:szCs w:val="32"/>
        </w:rPr>
        <w:t>可在信息登记</w:t>
      </w:r>
      <w:r>
        <w:rPr>
          <w:rFonts w:hint="eastAsia" w:ascii="仿宋" w:hAnsi="仿宋" w:eastAsia="仿宋"/>
          <w:b/>
          <w:bCs/>
          <w:sz w:val="32"/>
          <w:szCs w:val="32"/>
        </w:rPr>
        <w:t>当日</w:t>
      </w:r>
      <w:r>
        <w:rPr>
          <w:rFonts w:hint="eastAsia" w:ascii="仿宋" w:hAnsi="仿宋" w:eastAsia="仿宋"/>
          <w:sz w:val="32"/>
          <w:szCs w:val="32"/>
        </w:rPr>
        <w:t>撤回提交生效的登记信息。</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5</w:t>
      </w:r>
      <w:r>
        <w:rPr>
          <w:rFonts w:hint="eastAsia" w:ascii="仿宋" w:hAnsi="仿宋" w:eastAsia="仿宋"/>
          <w:sz w:val="32"/>
          <w:szCs w:val="32"/>
        </w:rPr>
        <w:t>）线下追偿登记、追偿结清登记完成后，登记机构可在票交所查询已登记的信息，但不得撤回或修改已登记的信息。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）已逾登记信息撤回办理时点的，需提交书面申请至票交所进行信息变更处理。</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原信息登记机构可撤回登记信息申请，其他票据当事人不可办理。</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1.原信息登记机构</w:t>
      </w:r>
      <w:r>
        <w:rPr>
          <w:rFonts w:hint="eastAsia" w:ascii="仿宋" w:hAnsi="仿宋" w:eastAsia="仿宋"/>
          <w:sz w:val="32"/>
          <w:szCs w:val="32"/>
        </w:rPr>
        <w:t>向票交所</w:t>
      </w:r>
      <w:r>
        <w:rPr>
          <w:rFonts w:ascii="仿宋" w:hAnsi="仿宋" w:eastAsia="仿宋"/>
          <w:sz w:val="32"/>
          <w:szCs w:val="32"/>
        </w:rPr>
        <w:t>发起撤回申请，</w:t>
      </w:r>
      <w:r>
        <w:rPr>
          <w:rFonts w:hint="eastAsia" w:ascii="仿宋" w:hAnsi="仿宋" w:eastAsia="仿宋"/>
          <w:sz w:val="32"/>
          <w:szCs w:val="32"/>
        </w:rPr>
        <w:t>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（2）撤回申请人的参与者代码、撤回申请日期、撤回原因、撤回信息；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（3）如撤回承兑信息登记，还需提供撤回信息类型（“票据作废”、“信息作废”、“未用退回”）；</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（4）备注。</w:t>
      </w:r>
    </w:p>
    <w:p>
      <w:pPr>
        <w:spacing w:line="59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承兑信息登记撤回后：</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（1）撤回信息类型为“票据作废”、“未用退回”的票据，相应的票据号码</w:t>
      </w:r>
      <w:r>
        <w:rPr>
          <w:rFonts w:hint="eastAsia" w:ascii="仿宋" w:hAnsi="仿宋" w:eastAsia="仿宋"/>
          <w:b/>
          <w:sz w:val="32"/>
          <w:szCs w:val="32"/>
        </w:rPr>
        <w:t>不可</w:t>
      </w:r>
      <w:r>
        <w:rPr>
          <w:rFonts w:hint="eastAsia" w:ascii="仿宋" w:hAnsi="仿宋" w:eastAsia="仿宋"/>
          <w:sz w:val="32"/>
          <w:szCs w:val="32"/>
        </w:rPr>
        <w:t>再用于新增的承兑信息登记和其他业务操作；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（2）撤回信息类型为“</w:t>
      </w:r>
      <w:r>
        <w:rPr>
          <w:rFonts w:ascii="仿宋" w:hAnsi="仿宋" w:eastAsia="仿宋"/>
          <w:sz w:val="32"/>
          <w:szCs w:val="32"/>
        </w:rPr>
        <w:t>信息作废</w:t>
      </w:r>
      <w:r>
        <w:rPr>
          <w:rFonts w:hint="eastAsia" w:ascii="仿宋" w:hAnsi="仿宋" w:eastAsia="仿宋"/>
          <w:sz w:val="32"/>
          <w:szCs w:val="32"/>
        </w:rPr>
        <w:t>”</w:t>
      </w:r>
      <w:r>
        <w:rPr>
          <w:rFonts w:ascii="仿宋" w:hAnsi="仿宋" w:eastAsia="仿宋"/>
          <w:sz w:val="32"/>
          <w:szCs w:val="32"/>
        </w:rPr>
        <w:t>的票据，相应的票据号码</w:t>
      </w:r>
      <w:r>
        <w:rPr>
          <w:rFonts w:hint="eastAsia" w:ascii="仿宋" w:hAnsi="仿宋" w:eastAsia="仿宋"/>
          <w:b/>
          <w:sz w:val="32"/>
          <w:szCs w:val="32"/>
        </w:rPr>
        <w:t>可以</w:t>
      </w:r>
      <w:r>
        <w:rPr>
          <w:rFonts w:hint="eastAsia" w:ascii="仿宋" w:hAnsi="仿宋" w:eastAsia="仿宋"/>
          <w:sz w:val="32"/>
          <w:szCs w:val="32"/>
        </w:rPr>
        <w:t>用于其他新增票据的承兑信息登记。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3.贴现信息登记撤回后，撤销纸票在票交所的权属初始登记信息。</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305" w:name="_Toc27049"/>
      <w:bookmarkStart w:id="1306" w:name="_Toc21870"/>
      <w:bookmarkStart w:id="1307" w:name="_Toc26986"/>
      <w:bookmarkStart w:id="1308" w:name="_Toc24509"/>
      <w:bookmarkStart w:id="1309" w:name="_Toc4457"/>
      <w:bookmarkStart w:id="1310" w:name="_Toc14237"/>
      <w:bookmarkStart w:id="1311" w:name="_Toc1775968205"/>
      <w:bookmarkStart w:id="1312" w:name="_Toc32616"/>
      <w:bookmarkStart w:id="1313" w:name="_Toc17348"/>
      <w:bookmarkStart w:id="1314" w:name="_Toc18767"/>
      <w:bookmarkStart w:id="1315" w:name="_Toc12986"/>
      <w:bookmarkStart w:id="1316" w:name="_Toc19585"/>
      <w:bookmarkStart w:id="1317" w:name="_Toc27571"/>
      <w:bookmarkStart w:id="1318" w:name="_Toc26616"/>
      <w:bookmarkStart w:id="1319" w:name="_Toc26880"/>
      <w:bookmarkStart w:id="1320" w:name="_Toc2721"/>
      <w:bookmarkStart w:id="1321" w:name="_Toc30648"/>
      <w:r>
        <w:rPr>
          <w:rFonts w:hint="eastAsia" w:ascii="仿宋" w:hAnsi="仿宋" w:eastAsia="仿宋" w:cs="仿宋"/>
          <w:b/>
          <w:sz w:val="32"/>
          <w:szCs w:val="32"/>
        </w:rPr>
        <w:t>5.3 纸票登记信息查询</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金融机构可向票交所查询在票交所内登记纸票的基本信息。</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查询人应为已接入票交所的金融机构。</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numPr>
          <w:ilvl w:val="0"/>
          <w:numId w:val="24"/>
        </w:numPr>
        <w:spacing w:line="590" w:lineRule="exact"/>
        <w:ind w:firstLine="640" w:firstLineChars="200"/>
        <w:rPr>
          <w:rFonts w:ascii="仿宋" w:hAnsi="仿宋" w:eastAsia="仿宋"/>
          <w:sz w:val="32"/>
          <w:szCs w:val="32"/>
        </w:rPr>
      </w:pPr>
      <w:r>
        <w:rPr>
          <w:rFonts w:hint="eastAsia" w:ascii="仿宋" w:hAnsi="仿宋" w:eastAsia="仿宋"/>
          <w:sz w:val="32"/>
          <w:szCs w:val="32"/>
        </w:rPr>
        <w:t>查询人</w:t>
      </w:r>
      <w:r>
        <w:rPr>
          <w:rFonts w:ascii="仿宋" w:hAnsi="仿宋" w:eastAsia="仿宋"/>
          <w:sz w:val="32"/>
          <w:szCs w:val="32"/>
        </w:rPr>
        <w:t>向</w:t>
      </w:r>
      <w:r>
        <w:rPr>
          <w:rFonts w:hint="eastAsia" w:ascii="仿宋" w:hAnsi="仿宋" w:eastAsia="仿宋"/>
          <w:sz w:val="32"/>
          <w:szCs w:val="32"/>
        </w:rPr>
        <w:t>票交所发起纸票信息查询申请，需要提供的要素信息包括：</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（1）查询机构的参与者代码、查询日期；</w:t>
      </w:r>
    </w:p>
    <w:p>
      <w:pPr>
        <w:numPr>
          <w:ilvl w:val="0"/>
          <w:numId w:val="25"/>
        </w:numPr>
        <w:spacing w:line="590" w:lineRule="exact"/>
        <w:ind w:firstLine="640" w:firstLineChars="200"/>
        <w:rPr>
          <w:rFonts w:ascii="仿宋" w:hAnsi="仿宋" w:eastAsia="仿宋"/>
          <w:sz w:val="32"/>
          <w:szCs w:val="32"/>
        </w:rPr>
      </w:pPr>
      <w:r>
        <w:rPr>
          <w:rFonts w:hint="eastAsia" w:ascii="仿宋" w:hAnsi="仿宋" w:eastAsia="仿宋"/>
          <w:sz w:val="32"/>
          <w:szCs w:val="32"/>
        </w:rPr>
        <w:t>票据种类、票据号码、票据金额、票据到期日、承兑人开户行行号。</w:t>
      </w:r>
    </w:p>
    <w:p>
      <w:pPr>
        <w:numPr>
          <w:ilvl w:val="0"/>
          <w:numId w:val="24"/>
        </w:numPr>
        <w:spacing w:line="590" w:lineRule="exact"/>
        <w:ind w:firstLine="640" w:firstLineChars="200"/>
        <w:rPr>
          <w:rFonts w:ascii="仿宋" w:hAnsi="仿宋" w:eastAsia="仿宋"/>
          <w:sz w:val="32"/>
          <w:szCs w:val="32"/>
        </w:rPr>
      </w:pPr>
      <w:r>
        <w:rPr>
          <w:rFonts w:hint="eastAsia" w:ascii="仿宋" w:hAnsi="仿宋" w:eastAsia="仿宋"/>
          <w:sz w:val="32"/>
          <w:szCs w:val="32"/>
        </w:rPr>
        <w:t>票交所接收申请信息并校验，判断无误，则向查询人反馈查询结果信息。返回的查询结果信息包括：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（1）票据种类、票据号码、票据金额、票据到期日、承兑人开户行行号；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（2）票据状态、票据流通标志、风险票据状态；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（3）出票日期、承兑日期、出票人名称、收款人名称、承兑人名称、解付行行号；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（4）承兑信息登记的备注；</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（5）影像类型、影像批次号等登记的影像信息；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（6）历史查询次数、历史查询的查询日期、历史查询机构的参与者代码。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（注</w:t>
      </w:r>
      <w:r>
        <w:rPr>
          <w:rFonts w:ascii="仿宋" w:hAnsi="仿宋" w:eastAsia="仿宋"/>
          <w:sz w:val="32"/>
          <w:szCs w:val="32"/>
        </w:rPr>
        <w:t>:</w:t>
      </w:r>
      <w:r>
        <w:rPr>
          <w:rFonts w:hint="eastAsia" w:ascii="仿宋" w:hAnsi="仿宋" w:eastAsia="仿宋"/>
          <w:sz w:val="32"/>
          <w:szCs w:val="32"/>
        </w:rPr>
        <w:t>历史查询次数等历史查询信息，记录的是贴现前（含贴现当天）的历史查询记录，含本次查询。</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贴现次日起的查询不计入历史查询信息。）</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楷体"/>
          <w:b/>
          <w:sz w:val="32"/>
          <w:szCs w:val="32"/>
        </w:rPr>
      </w:pPr>
      <w:bookmarkStart w:id="1322" w:name="_Toc11796"/>
      <w:bookmarkStart w:id="1323" w:name="_Toc24615"/>
      <w:bookmarkStart w:id="1324" w:name="_Toc22189"/>
      <w:bookmarkStart w:id="1325" w:name="_Toc23110"/>
      <w:bookmarkStart w:id="1326" w:name="_Toc31679"/>
      <w:bookmarkStart w:id="1327" w:name="_Toc584"/>
      <w:bookmarkStart w:id="1328" w:name="_Toc25264"/>
      <w:bookmarkStart w:id="1329" w:name="_Toc31422"/>
      <w:bookmarkStart w:id="1330" w:name="_Toc10994"/>
      <w:bookmarkStart w:id="1331" w:name="_Toc4129"/>
      <w:bookmarkStart w:id="1332" w:name="_Toc1347483606"/>
      <w:bookmarkStart w:id="1333" w:name="_Toc16031"/>
      <w:bookmarkStart w:id="1334" w:name="_Toc4825"/>
      <w:bookmarkStart w:id="1335" w:name="_Toc30049"/>
      <w:bookmarkStart w:id="1336" w:name="_Toc8332"/>
      <w:bookmarkStart w:id="1337" w:name="_Toc26899"/>
      <w:bookmarkStart w:id="1338" w:name="_Toc16403"/>
      <w:r>
        <w:rPr>
          <w:rFonts w:hint="eastAsia" w:ascii="仿宋" w:hAnsi="仿宋" w:eastAsia="仿宋" w:cs="楷体"/>
          <w:b/>
          <w:sz w:val="32"/>
          <w:szCs w:val="32"/>
        </w:rPr>
        <w:t>5.4 纸票的付款确认</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3" w:firstLineChars="200"/>
        <w:rPr>
          <w:rFonts w:ascii="仿宋" w:hAnsi="仿宋" w:eastAsia="仿宋" w:cs="仿宋"/>
          <w:sz w:val="32"/>
          <w:szCs w:val="32"/>
          <w:lang w:bidi="ar"/>
        </w:rPr>
      </w:pPr>
      <w:r>
        <w:rPr>
          <w:rFonts w:hint="eastAsia" w:ascii="仿宋" w:hAnsi="仿宋" w:eastAsia="仿宋" w:cs="仿宋"/>
          <w:b/>
          <w:bCs/>
          <w:sz w:val="32"/>
          <w:szCs w:val="32"/>
          <w:lang w:bidi="ar"/>
        </w:rPr>
        <w:t>付款确认</w:t>
      </w:r>
      <w:r>
        <w:rPr>
          <w:rFonts w:hint="eastAsia" w:ascii="仿宋" w:hAnsi="仿宋" w:eastAsia="仿宋" w:cs="仿宋"/>
          <w:sz w:val="32"/>
          <w:szCs w:val="32"/>
          <w:lang w:bidi="ar"/>
        </w:rPr>
        <w:t>指已贴现票据的票据保管机构</w:t>
      </w:r>
      <w:r>
        <w:rPr>
          <w:rStyle w:val="25"/>
          <w:rFonts w:hint="eastAsia" w:ascii="仿宋" w:hAnsi="仿宋" w:eastAsia="仿宋" w:cs="仿宋"/>
          <w:sz w:val="32"/>
          <w:szCs w:val="32"/>
          <w:lang w:bidi="ar"/>
        </w:rPr>
        <w:footnoteReference w:id="8"/>
      </w:r>
      <w:r>
        <w:rPr>
          <w:rFonts w:hint="eastAsia" w:ascii="仿宋" w:hAnsi="仿宋" w:eastAsia="仿宋" w:cs="仿宋"/>
          <w:sz w:val="32"/>
          <w:szCs w:val="32"/>
          <w:lang w:bidi="ar"/>
        </w:rPr>
        <w:t>向承兑人提出对票据到期付款责任进行确认的行为，可采用实物确认或影像确认。</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纸票在票交所完成贴现信息登记后，纸票的保管机构，应通过票交所及时向解付行发起付款确认申请，由解付行应答。</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（1）票据在票交所的库存状态为：已保管、已保证增信、已承兑保管。</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（2）库存变更、保证增信业务与票据在票交所的库存状态有关，如</w:t>
      </w:r>
      <w:r>
        <w:rPr>
          <w:rFonts w:hint="eastAsia" w:ascii="仿宋" w:hAnsi="仿宋" w:eastAsia="仿宋"/>
          <w:sz w:val="32"/>
          <w:szCs w:val="32"/>
          <w:lang w:eastAsia="zh-CN"/>
        </w:rPr>
        <w:t>其</w:t>
      </w:r>
      <w:r>
        <w:rPr>
          <w:rFonts w:hint="eastAsia" w:ascii="仿宋" w:hAnsi="仿宋" w:eastAsia="仿宋"/>
          <w:sz w:val="32"/>
          <w:szCs w:val="32"/>
        </w:rPr>
        <w:t>有在途业务，付款确认（含影像确认、实物确认）不能并行发起。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（3）付款确认已通过（含影像确认、实物确认）的票据不能再发付款确认申请。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（4）付款确认类型包括影像确认和实物确认：</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影像确认，是指票据保管机构以在票交所登记的票据信息和影像信息，请求解付行进行付款确认；</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实物确认，是指票据保管机构以票据实物，请求解付行进行付款确认。</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（5）付款确认业务可以和其他与纸票在票交所的库存状态无关的业务（贴现保证、质押、质押解除、交易、提示付款等）并行发起。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（1）付款确认申请的申请人应为票据保管机构，包括贴现保管机构（未办理库存移库自行保管票据的贴入人、已办理库存移库的与贴入人同一法人的其他票据保管机构）、保证增信人。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（2）付款确认的接收人应为解付行。</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3.业务日期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（1）纸票在票交所完成贴现信息登记后，票据保管机构可</w:t>
      </w:r>
      <w:r>
        <w:rPr>
          <w:rFonts w:hint="eastAsia" w:ascii="仿宋" w:hAnsi="仿宋" w:eastAsia="仿宋"/>
          <w:b/>
          <w:sz w:val="32"/>
          <w:szCs w:val="32"/>
        </w:rPr>
        <w:t>手动</w:t>
      </w:r>
      <w:r>
        <w:rPr>
          <w:rFonts w:hint="eastAsia" w:ascii="仿宋" w:hAnsi="仿宋" w:eastAsia="仿宋"/>
          <w:sz w:val="32"/>
          <w:szCs w:val="32"/>
        </w:rPr>
        <w:t>向解付行发起付款确认申请，如当日未手动发起，票交所将在贴现信息登记完成后的</w:t>
      </w:r>
      <w:r>
        <w:rPr>
          <w:rFonts w:hint="eastAsia" w:ascii="仿宋" w:hAnsi="仿宋" w:eastAsia="仿宋"/>
          <w:sz w:val="32"/>
          <w:szCs w:val="32"/>
          <w:lang w:eastAsia="zh-CN"/>
        </w:rPr>
        <w:t>下一</w:t>
      </w:r>
      <w:r>
        <w:rPr>
          <w:rFonts w:hint="eastAsia" w:ascii="仿宋" w:hAnsi="仿宋" w:eastAsia="仿宋"/>
          <w:sz w:val="32"/>
          <w:szCs w:val="32"/>
        </w:rPr>
        <w:t>营业日</w:t>
      </w:r>
      <w:r>
        <w:rPr>
          <w:rFonts w:hint="eastAsia" w:ascii="仿宋" w:hAnsi="仿宋" w:eastAsia="仿宋"/>
          <w:b/>
          <w:sz w:val="32"/>
          <w:szCs w:val="32"/>
        </w:rPr>
        <w:t>自动</w:t>
      </w:r>
      <w:r>
        <w:rPr>
          <w:rFonts w:hint="eastAsia" w:ascii="仿宋" w:hAnsi="仿宋" w:eastAsia="仿宋"/>
          <w:sz w:val="32"/>
          <w:szCs w:val="32"/>
        </w:rPr>
        <w:t>向解付行发起影像确认申请。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（2）票据保管机构在贴现信息登记当日未手动发起付款确认申请但发起保证增信申请的，在保证增信人确认保证增信前，票交所不自动向解付行发起影像确认申请。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保证增信人确认保证增信的当日，可</w:t>
      </w:r>
      <w:r>
        <w:rPr>
          <w:rFonts w:hint="eastAsia" w:ascii="仿宋" w:hAnsi="仿宋" w:eastAsia="仿宋"/>
          <w:b/>
          <w:sz w:val="32"/>
          <w:szCs w:val="32"/>
        </w:rPr>
        <w:t>手动</w:t>
      </w:r>
      <w:r>
        <w:rPr>
          <w:rFonts w:hint="eastAsia" w:ascii="仿宋" w:hAnsi="仿宋" w:eastAsia="仿宋"/>
          <w:sz w:val="32"/>
          <w:szCs w:val="32"/>
        </w:rPr>
        <w:t>发起付款确认申请，若当日未手动发起付款确认申请，票交所将在保证增信后的</w:t>
      </w:r>
      <w:r>
        <w:rPr>
          <w:rFonts w:hint="eastAsia" w:ascii="仿宋" w:hAnsi="仿宋" w:eastAsia="仿宋"/>
          <w:sz w:val="32"/>
          <w:szCs w:val="32"/>
          <w:lang w:eastAsia="zh-CN"/>
        </w:rPr>
        <w:t>下一</w:t>
      </w:r>
      <w:r>
        <w:rPr>
          <w:rFonts w:hint="eastAsia" w:ascii="仿宋" w:hAnsi="仿宋" w:eastAsia="仿宋"/>
          <w:sz w:val="32"/>
          <w:szCs w:val="32"/>
        </w:rPr>
        <w:t>营业日</w:t>
      </w:r>
      <w:r>
        <w:rPr>
          <w:rFonts w:hint="eastAsia" w:ascii="仿宋" w:hAnsi="仿宋" w:eastAsia="仿宋"/>
          <w:b/>
          <w:sz w:val="32"/>
          <w:szCs w:val="32"/>
        </w:rPr>
        <w:t>自动</w:t>
      </w:r>
      <w:r>
        <w:rPr>
          <w:rFonts w:hint="eastAsia" w:ascii="仿宋" w:hAnsi="仿宋" w:eastAsia="仿宋"/>
          <w:sz w:val="32"/>
          <w:szCs w:val="32"/>
        </w:rPr>
        <w:t>向解付行发起影像确认申请。</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1.票据保管机构选择保管的票据，向票交所发送付款确认申请，需要提供的要素信息包括：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（2）付款确认申请日期、付款确认申请人的参与者代码、付款确认类型、申请类型（“手动新建”、“应答发起补录影像”、“应答发起实物确认”）；</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（3）影像类型、影像批次号等登记的影像信息；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（4）备注。</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2.票据保管机构可以撤销待应答的付款确认申请。</w:t>
      </w:r>
    </w:p>
    <w:p>
      <w:pPr>
        <w:spacing w:line="590" w:lineRule="exact"/>
        <w:ind w:firstLine="640" w:firstLineChars="200"/>
        <w:rPr>
          <w:rFonts w:ascii="仿宋" w:hAnsi="仿宋" w:eastAsia="仿宋" w:cs="仿宋"/>
          <w:sz w:val="32"/>
          <w:szCs w:val="32"/>
        </w:rPr>
      </w:pPr>
      <w:r>
        <w:rPr>
          <w:rFonts w:hint="eastAsia" w:ascii="仿宋" w:hAnsi="仿宋" w:eastAsia="仿宋"/>
          <w:sz w:val="32"/>
          <w:szCs w:val="32"/>
        </w:rPr>
        <w:t>3.</w:t>
      </w:r>
      <w:r>
        <w:rPr>
          <w:rFonts w:hint="eastAsia" w:ascii="仿宋" w:hAnsi="仿宋" w:eastAsia="仿宋" w:cs="仿宋"/>
          <w:sz w:val="32"/>
          <w:szCs w:val="32"/>
        </w:rPr>
        <w:t>解付行在收到票交所转发的付款确认申请后，应在三个营业日内根据不同情况在票交所做出应答：</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（1）当收到</w:t>
      </w:r>
      <w:r>
        <w:rPr>
          <w:rFonts w:hint="eastAsia" w:ascii="仿宋" w:hAnsi="仿宋" w:eastAsia="仿宋" w:cs="仿宋"/>
          <w:b/>
          <w:sz w:val="32"/>
          <w:szCs w:val="32"/>
        </w:rPr>
        <w:t>影像确认</w:t>
      </w:r>
      <w:r>
        <w:rPr>
          <w:rFonts w:hint="eastAsia" w:ascii="仿宋" w:hAnsi="仿宋" w:eastAsia="仿宋" w:cs="仿宋"/>
          <w:bCs/>
          <w:sz w:val="32"/>
          <w:szCs w:val="32"/>
        </w:rPr>
        <w:t>申请时，可选择的应答类型包括：审批通过、审批拒绝（需补录资料）、审批拒绝（需实物确认）；</w:t>
      </w:r>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（2）当收到</w:t>
      </w:r>
      <w:r>
        <w:rPr>
          <w:rFonts w:hint="eastAsia" w:ascii="仿宋" w:hAnsi="仿宋" w:eastAsia="仿宋" w:cs="仿宋"/>
          <w:b/>
          <w:sz w:val="32"/>
          <w:szCs w:val="32"/>
        </w:rPr>
        <w:t>实物确认</w:t>
      </w:r>
      <w:r>
        <w:rPr>
          <w:rFonts w:hint="eastAsia" w:ascii="仿宋" w:hAnsi="仿宋" w:eastAsia="仿宋" w:cs="仿宋"/>
          <w:bCs/>
          <w:sz w:val="32"/>
          <w:szCs w:val="32"/>
        </w:rPr>
        <w:t>申请及移送的票据实物时，</w:t>
      </w:r>
      <w:r>
        <w:rPr>
          <w:rFonts w:hint="eastAsia" w:ascii="仿宋" w:hAnsi="仿宋" w:eastAsia="仿宋" w:cs="仿宋"/>
          <w:sz w:val="32"/>
          <w:szCs w:val="32"/>
        </w:rPr>
        <w:t>可选择的应答类型包括：审批通过、审批拒绝（需补录资料）、审批拒绝（真伪存疑）。</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4.票据保管机构（贴现保管机构或保证增信人）收到解付行的应答要求后，根据解付行要求进行如下处理：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（1）若解付行对影像确认申请应答为“</w:t>
      </w:r>
      <w:r>
        <w:rPr>
          <w:rFonts w:hint="eastAsia" w:ascii="仿宋" w:hAnsi="仿宋" w:eastAsia="仿宋" w:cs="仿宋"/>
          <w:bCs/>
          <w:sz w:val="32"/>
          <w:szCs w:val="32"/>
        </w:rPr>
        <w:t>审批拒绝（需实物确认）”</w:t>
      </w:r>
      <w:r>
        <w:rPr>
          <w:rFonts w:hint="eastAsia" w:ascii="仿宋" w:hAnsi="仿宋" w:eastAsia="仿宋" w:cs="仿宋"/>
          <w:sz w:val="32"/>
          <w:szCs w:val="32"/>
        </w:rPr>
        <w:t>的，票据保管机构应发起实物确认申请（选择申请类型为“应答发起实物确认”），并向解付行移送票据实物；</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（2）若解付行应答为“</w:t>
      </w:r>
      <w:r>
        <w:rPr>
          <w:rFonts w:hint="eastAsia" w:ascii="仿宋" w:hAnsi="仿宋" w:eastAsia="仿宋" w:cs="仿宋"/>
          <w:bCs/>
          <w:sz w:val="32"/>
          <w:szCs w:val="32"/>
        </w:rPr>
        <w:t>审批拒绝（需补录资料）”</w:t>
      </w:r>
      <w:r>
        <w:rPr>
          <w:rFonts w:hint="eastAsia" w:ascii="仿宋" w:hAnsi="仿宋" w:eastAsia="仿宋" w:cs="仿宋"/>
          <w:sz w:val="32"/>
          <w:szCs w:val="32"/>
        </w:rPr>
        <w:t>的，票据保管机构应向票交所补充登记上传相关补充说明的影像文件，并再次发起影像确认申请（选择申请类型为“应答发起补录影像”）。</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5.在影像确认业务处理期间，票据实物变更保管机构的，票交所将解付行的影像确认申请应答结果发送至新的票据保管机构，由其进行后续业务处理。</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6.解付行完成付款确认应答后，</w:t>
      </w:r>
      <w:r>
        <w:rPr>
          <w:rFonts w:hint="eastAsia" w:ascii="仿宋" w:hAnsi="仿宋" w:eastAsia="仿宋"/>
          <w:sz w:val="32"/>
          <w:szCs w:val="32"/>
        </w:rPr>
        <w:t>票交所根据解付行付款确认应答情况，向不同票据当事人通知付款确认结果：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当付款确认应答结果为审批通过（含影像确认、实物确认）、审批拒绝（真伪存疑）时，票交所将应答结果反馈至票据的持票人（含已质押未解除票据的出质人）、已质押未解除票据的质权人、贴现的贴入人、承兑保证人、贴现保证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（2）在影像确认已发起、待确认时，票据保管机构并行发起保证增信的，影像确认应答后，票交所向保证增信的接收人或已应答同意的保证增信人通知影像确认的应答结果。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7.票交所向票据当事人通知的信息包括：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（2）付款确认申请日期、付款确认申请人的参与者代码、付款确认类型；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（3）付款确认的应答标识、付款确认拒绝原因代码（如应答为拒绝的）、付款确认应答日期；</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（4）付款确认申请备注、付款确认应答备注。</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339" w:name="_Toc2030562203"/>
      <w:bookmarkStart w:id="1340" w:name="_Toc20941"/>
      <w:bookmarkStart w:id="1341" w:name="_Toc8543"/>
      <w:bookmarkStart w:id="1342" w:name="_Toc3072"/>
      <w:bookmarkStart w:id="1343" w:name="_Toc6746"/>
      <w:bookmarkStart w:id="1344" w:name="_Toc24326"/>
      <w:bookmarkStart w:id="1345" w:name="_Toc15252"/>
      <w:bookmarkStart w:id="1346" w:name="_Toc7099"/>
      <w:bookmarkStart w:id="1347" w:name="_Toc14591"/>
      <w:bookmarkStart w:id="1348" w:name="_Toc29704"/>
      <w:bookmarkStart w:id="1349" w:name="_Toc9277"/>
      <w:bookmarkStart w:id="1350" w:name="_Toc24709"/>
      <w:bookmarkStart w:id="1351" w:name="_Toc24941"/>
      <w:bookmarkStart w:id="1352" w:name="_Toc18867"/>
      <w:bookmarkStart w:id="1353" w:name="_Toc30114"/>
      <w:bookmarkStart w:id="1354" w:name="_Toc31199"/>
      <w:bookmarkStart w:id="1355" w:name="_Toc1632"/>
      <w:r>
        <w:rPr>
          <w:rFonts w:hint="eastAsia" w:ascii="仿宋" w:hAnsi="仿宋" w:eastAsia="仿宋" w:cs="仿宋"/>
          <w:b/>
          <w:sz w:val="32"/>
          <w:szCs w:val="32"/>
        </w:rPr>
        <w:t>5.5 纸票的库存变更</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pPr>
        <w:spacing w:line="590" w:lineRule="exact"/>
        <w:ind w:firstLine="643" w:firstLineChars="200"/>
        <w:outlineLvl w:val="2"/>
        <w:rPr>
          <w:rFonts w:ascii="仿宋" w:hAnsi="仿宋" w:eastAsia="仿宋" w:cs="仿宋"/>
          <w:b/>
          <w:sz w:val="32"/>
          <w:szCs w:val="32"/>
        </w:rPr>
      </w:pPr>
      <w:bookmarkStart w:id="1356" w:name="_Toc29233"/>
      <w:bookmarkStart w:id="1357" w:name="_Toc14593"/>
      <w:bookmarkStart w:id="1358" w:name="_Toc13242"/>
      <w:bookmarkStart w:id="1359" w:name="_Toc12487"/>
      <w:bookmarkStart w:id="1360" w:name="_Toc22003"/>
      <w:bookmarkStart w:id="1361" w:name="_Toc20692"/>
      <w:bookmarkStart w:id="1362" w:name="_Toc39119056"/>
      <w:bookmarkStart w:id="1363" w:name="_Toc10454"/>
      <w:bookmarkStart w:id="1364" w:name="_Toc11134"/>
      <w:bookmarkStart w:id="1365" w:name="_Toc23412"/>
      <w:bookmarkStart w:id="1366" w:name="_Toc6808"/>
      <w:bookmarkStart w:id="1367" w:name="_Toc21590"/>
      <w:bookmarkStart w:id="1368" w:name="_Toc10154"/>
      <w:bookmarkStart w:id="1369" w:name="_Toc22851"/>
      <w:r>
        <w:rPr>
          <w:rFonts w:hint="eastAsia" w:ascii="仿宋" w:hAnsi="仿宋" w:eastAsia="仿宋" w:cs="仿宋"/>
          <w:b/>
          <w:sz w:val="32"/>
          <w:szCs w:val="32"/>
        </w:rPr>
        <w:t>5.5.1 库存变更申请</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原票据保管机构发起库存移出申请，将票据实物移存至指定的票据保管机构，由新票据保管机构完成库存移入。</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（1）票据在票交所的库存状态为</w:t>
      </w:r>
      <w:r>
        <w:rPr>
          <w:rFonts w:hint="eastAsia" w:ascii="仿宋" w:hAnsi="仿宋" w:eastAsia="仿宋"/>
          <w:sz w:val="32"/>
          <w:szCs w:val="32"/>
          <w:lang w:eastAsia="zh-CN"/>
        </w:rPr>
        <w:t>“</w:t>
      </w:r>
      <w:r>
        <w:rPr>
          <w:rFonts w:hint="eastAsia" w:ascii="仿宋" w:hAnsi="仿宋" w:eastAsia="仿宋"/>
          <w:sz w:val="32"/>
          <w:szCs w:val="32"/>
        </w:rPr>
        <w:t>已保管</w:t>
      </w:r>
      <w:r>
        <w:rPr>
          <w:rFonts w:hint="eastAsia" w:ascii="仿宋" w:hAnsi="仿宋" w:eastAsia="仿宋"/>
          <w:sz w:val="32"/>
          <w:szCs w:val="32"/>
          <w:lang w:eastAsia="zh-CN"/>
        </w:rPr>
        <w:t>”</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（2）票据在票交所的</w:t>
      </w:r>
      <w:r>
        <w:rPr>
          <w:rFonts w:ascii="仿宋" w:hAnsi="仿宋" w:eastAsia="仿宋"/>
          <w:sz w:val="32"/>
          <w:szCs w:val="32"/>
        </w:rPr>
        <w:t>票据</w:t>
      </w:r>
      <w:r>
        <w:rPr>
          <w:rFonts w:hint="eastAsia" w:ascii="仿宋" w:hAnsi="仿宋" w:eastAsia="仿宋"/>
          <w:sz w:val="32"/>
          <w:szCs w:val="32"/>
        </w:rPr>
        <w:t>状态</w:t>
      </w:r>
      <w:r>
        <w:rPr>
          <w:rFonts w:ascii="仿宋" w:hAnsi="仿宋" w:eastAsia="仿宋"/>
          <w:sz w:val="32"/>
          <w:szCs w:val="32"/>
        </w:rPr>
        <w:t>不</w:t>
      </w:r>
      <w:r>
        <w:rPr>
          <w:rFonts w:hint="eastAsia" w:ascii="仿宋" w:hAnsi="仿宋" w:eastAsia="仿宋"/>
          <w:sz w:val="32"/>
          <w:szCs w:val="32"/>
        </w:rPr>
        <w:t>可为“</w:t>
      </w:r>
      <w:r>
        <w:rPr>
          <w:rFonts w:ascii="仿宋" w:hAnsi="仿宋" w:eastAsia="仿宋"/>
          <w:sz w:val="32"/>
          <w:szCs w:val="32"/>
        </w:rPr>
        <w:t>已结清</w:t>
      </w:r>
      <w:r>
        <w:rPr>
          <w:rFonts w:hint="eastAsia" w:ascii="仿宋" w:hAnsi="仿宋" w:eastAsia="仿宋"/>
          <w:sz w:val="32"/>
          <w:szCs w:val="32"/>
        </w:rPr>
        <w:t>”</w:t>
      </w:r>
      <w:r>
        <w:rPr>
          <w:rFonts w:ascii="仿宋" w:hAnsi="仿宋" w:eastAsia="仿宋"/>
          <w:sz w:val="32"/>
          <w:szCs w:val="32"/>
        </w:rPr>
        <w:t>或</w:t>
      </w:r>
      <w:r>
        <w:rPr>
          <w:rFonts w:hint="eastAsia" w:ascii="仿宋" w:hAnsi="仿宋" w:eastAsia="仿宋"/>
          <w:sz w:val="32"/>
          <w:szCs w:val="32"/>
        </w:rPr>
        <w:t>“</w:t>
      </w:r>
      <w:r>
        <w:rPr>
          <w:rFonts w:ascii="仿宋" w:hAnsi="仿宋" w:eastAsia="仿宋"/>
          <w:sz w:val="32"/>
          <w:szCs w:val="32"/>
        </w:rPr>
        <w:t>已终止</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（3）影像确认已发起、待应答时，可并行发起库存变更申请。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（4）保证增信申请、付款确认申请（实物确认），业务发起后不需另外发起库存变更申请。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ascii="仿宋" w:hAnsi="仿宋" w:eastAsia="仿宋"/>
          <w:sz w:val="32"/>
          <w:szCs w:val="32"/>
        </w:rPr>
        <w:t>贴现</w:t>
      </w:r>
      <w:r>
        <w:rPr>
          <w:rFonts w:hint="eastAsia" w:ascii="仿宋" w:hAnsi="仿宋" w:eastAsia="仿宋"/>
          <w:sz w:val="32"/>
          <w:szCs w:val="32"/>
        </w:rPr>
        <w:t>信息</w:t>
      </w:r>
      <w:r>
        <w:rPr>
          <w:rFonts w:ascii="仿宋" w:hAnsi="仿宋" w:eastAsia="仿宋"/>
          <w:sz w:val="32"/>
          <w:szCs w:val="32"/>
        </w:rPr>
        <w:t>登记后，</w:t>
      </w:r>
      <w:r>
        <w:rPr>
          <w:rFonts w:hint="eastAsia" w:ascii="仿宋" w:hAnsi="仿宋" w:eastAsia="仿宋"/>
          <w:sz w:val="32"/>
          <w:szCs w:val="32"/>
        </w:rPr>
        <w:t>贴现的贴入行可向同一法人下的其他机构完成行内保管移库，库存变更类型为“行内移库”</w:t>
      </w:r>
      <w:r>
        <w:rPr>
          <w:rFonts w:hint="eastAsia" w:ascii="仿宋" w:hAnsi="仿宋" w:eastAsia="仿宋"/>
          <w:sz w:val="32"/>
          <w:szCs w:val="32"/>
          <w:lang w:eastAsia="zh-CN"/>
        </w:rPr>
        <w:t>。</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票据保管机构</w:t>
      </w:r>
      <w:r>
        <w:rPr>
          <w:rFonts w:ascii="仿宋" w:hAnsi="仿宋" w:eastAsia="仿宋"/>
          <w:sz w:val="32"/>
          <w:szCs w:val="32"/>
        </w:rPr>
        <w:t>选择</w:t>
      </w:r>
      <w:r>
        <w:rPr>
          <w:rFonts w:hint="eastAsia" w:ascii="仿宋" w:hAnsi="仿宋" w:eastAsia="仿宋"/>
          <w:sz w:val="32"/>
          <w:szCs w:val="32"/>
        </w:rPr>
        <w:t>保管</w:t>
      </w:r>
      <w:r>
        <w:rPr>
          <w:rFonts w:ascii="仿宋" w:hAnsi="仿宋" w:eastAsia="仿宋"/>
          <w:sz w:val="32"/>
          <w:szCs w:val="32"/>
        </w:rPr>
        <w:t>票据，</w:t>
      </w:r>
      <w:r>
        <w:rPr>
          <w:rFonts w:hint="eastAsia" w:ascii="仿宋" w:hAnsi="仿宋" w:eastAsia="仿宋"/>
          <w:sz w:val="32"/>
          <w:szCs w:val="32"/>
        </w:rPr>
        <w:t>向票交所发送库存变更</w:t>
      </w:r>
      <w:r>
        <w:rPr>
          <w:rFonts w:ascii="仿宋" w:hAnsi="仿宋" w:eastAsia="仿宋"/>
          <w:sz w:val="32"/>
          <w:szCs w:val="32"/>
        </w:rPr>
        <w:t>申请</w:t>
      </w:r>
      <w:r>
        <w:rPr>
          <w:rFonts w:hint="eastAsia" w:ascii="仿宋" w:hAnsi="仿宋" w:eastAsia="仿宋"/>
          <w:sz w:val="32"/>
          <w:szCs w:val="32"/>
        </w:rPr>
        <w:t>，需提供的要素信息包括：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（2）库存变更类型（“行内移库”）、库存移出申请日期、库存移出机构的参与者代码、库存移入机构的参与者代码；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（3）备注。</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2.票据保管机构可以撤销待应答的库存变更申请。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库存变更申请的接收人在收到票交所转发的库存变更申请后，</w:t>
      </w:r>
      <w:r>
        <w:rPr>
          <w:rFonts w:ascii="仿宋" w:hAnsi="仿宋" w:eastAsia="仿宋"/>
          <w:sz w:val="32"/>
          <w:szCs w:val="32"/>
        </w:rPr>
        <w:t>进行</w:t>
      </w:r>
      <w:r>
        <w:rPr>
          <w:rFonts w:hint="eastAsia" w:ascii="仿宋" w:hAnsi="仿宋" w:eastAsia="仿宋"/>
          <w:sz w:val="32"/>
          <w:szCs w:val="32"/>
        </w:rPr>
        <w:t>同意或拒绝</w:t>
      </w:r>
      <w:r>
        <w:rPr>
          <w:rFonts w:ascii="仿宋" w:hAnsi="仿宋" w:eastAsia="仿宋"/>
          <w:sz w:val="32"/>
          <w:szCs w:val="32"/>
        </w:rPr>
        <w:t>应答</w:t>
      </w:r>
      <w:r>
        <w:rPr>
          <w:rFonts w:hint="eastAsia" w:ascii="仿宋" w:hAnsi="仿宋" w:eastAsia="仿宋"/>
          <w:sz w:val="32"/>
          <w:szCs w:val="32"/>
        </w:rPr>
        <w:t>。</w:t>
      </w:r>
    </w:p>
    <w:p>
      <w:pPr>
        <w:spacing w:line="590" w:lineRule="exact"/>
        <w:ind w:firstLine="640" w:firstLineChars="200"/>
        <w:rPr>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票交所向申请人转发接收人的应答结果。</w:t>
      </w:r>
    </w:p>
    <w:p>
      <w:pPr>
        <w:spacing w:line="590" w:lineRule="exact"/>
        <w:ind w:firstLine="640" w:firstLineChars="200"/>
        <w:rPr>
          <w:rFonts w:ascii="仿宋" w:hAnsi="仿宋" w:eastAsia="仿宋"/>
          <w:sz w:val="32"/>
          <w:szCs w:val="32"/>
        </w:rPr>
      </w:pPr>
      <w:r>
        <w:rPr>
          <w:rFonts w:hint="eastAsia" w:ascii="仿宋" w:hAnsi="仿宋" w:eastAsia="仿宋" w:cs="楷体"/>
          <w:bCs/>
          <w:sz w:val="32"/>
          <w:szCs w:val="32"/>
        </w:rPr>
        <w:t>5</w:t>
      </w:r>
      <w:r>
        <w:rPr>
          <w:rFonts w:hint="eastAsia" w:ascii="仿宋" w:hAnsi="仿宋" w:eastAsia="仿宋"/>
          <w:bCs/>
          <w:sz w:val="32"/>
          <w:szCs w:val="32"/>
        </w:rPr>
        <w:t>.</w:t>
      </w:r>
      <w:r>
        <w:rPr>
          <w:rFonts w:hint="eastAsia" w:ascii="仿宋" w:hAnsi="仿宋" w:eastAsia="仿宋"/>
          <w:sz w:val="32"/>
          <w:szCs w:val="32"/>
        </w:rPr>
        <w:t>库存变更的接收人应答同意后，票交所向持票人、已质押未解除票据的质权人下发库存变更情况的通知，通知的要素信息包括：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（2）库存变更类型、库存移出申请日期、库存移出机构的参与者代码、库存移入日期、库存移入机构的参与者代码；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（3）库存移出申请备注、库存移入应答备注。</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1370" w:name="_Toc8447"/>
      <w:bookmarkStart w:id="1371" w:name="_Toc2088606284"/>
      <w:bookmarkStart w:id="1372" w:name="_Toc22490"/>
      <w:bookmarkStart w:id="1373" w:name="_Toc29888"/>
      <w:bookmarkStart w:id="1374" w:name="_Toc27241"/>
      <w:bookmarkStart w:id="1375" w:name="_Toc30861"/>
      <w:bookmarkStart w:id="1376" w:name="_Toc671"/>
      <w:bookmarkStart w:id="1377" w:name="_Toc21725"/>
      <w:bookmarkStart w:id="1378" w:name="_Toc9267"/>
      <w:bookmarkStart w:id="1379" w:name="_Toc31191"/>
      <w:bookmarkStart w:id="1380" w:name="_Toc30951"/>
      <w:bookmarkStart w:id="1381" w:name="_Toc12961"/>
      <w:bookmarkStart w:id="1382" w:name="_Toc3033"/>
      <w:bookmarkStart w:id="1383" w:name="_Toc3047"/>
      <w:r>
        <w:rPr>
          <w:rFonts w:hint="eastAsia" w:ascii="仿宋" w:hAnsi="仿宋" w:eastAsia="仿宋" w:cs="仿宋"/>
          <w:b/>
          <w:sz w:val="32"/>
          <w:szCs w:val="32"/>
        </w:rPr>
        <w:t>5.5.2 库存退票申请</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spacing w:line="590" w:lineRule="exact"/>
        <w:ind w:firstLine="640" w:firstLineChars="200"/>
        <w:rPr>
          <w:rFonts w:ascii="仿宋" w:hAnsi="仿宋" w:eastAsia="仿宋" w:cs="仿宋"/>
          <w:color w:val="000000"/>
          <w:kern w:val="0"/>
          <w:sz w:val="31"/>
          <w:szCs w:val="31"/>
          <w:lang w:bidi="ar"/>
        </w:rPr>
      </w:pPr>
      <w:r>
        <w:rPr>
          <w:rFonts w:hint="eastAsia" w:ascii="仿宋" w:hAnsi="仿宋" w:eastAsia="仿宋"/>
          <w:sz w:val="32"/>
          <w:szCs w:val="32"/>
          <w:lang w:bidi="ar"/>
        </w:rPr>
        <w:t>库存移库申请、保证增信申请的接收人，可</w:t>
      </w:r>
      <w:r>
        <w:rPr>
          <w:rFonts w:ascii="仿宋" w:hAnsi="仿宋" w:eastAsia="仿宋" w:cs="仿宋"/>
          <w:color w:val="000000"/>
          <w:kern w:val="0"/>
          <w:sz w:val="31"/>
          <w:szCs w:val="31"/>
          <w:lang w:bidi="ar"/>
        </w:rPr>
        <w:t>对审验或核对未通过</w:t>
      </w:r>
      <w:r>
        <w:rPr>
          <w:rFonts w:hint="eastAsia" w:ascii="仿宋" w:hAnsi="仿宋" w:eastAsia="仿宋" w:cs="仿宋"/>
          <w:color w:val="000000"/>
          <w:kern w:val="0"/>
          <w:sz w:val="31"/>
          <w:szCs w:val="31"/>
          <w:lang w:bidi="ar"/>
        </w:rPr>
        <w:t>的库存待移入票据，应答拒绝作</w:t>
      </w:r>
      <w:r>
        <w:rPr>
          <w:rFonts w:hint="eastAsia" w:ascii="仿宋" w:hAnsi="仿宋" w:eastAsia="仿宋"/>
          <w:sz w:val="32"/>
          <w:szCs w:val="32"/>
        </w:rPr>
        <w:t>库存</w:t>
      </w:r>
      <w:r>
        <w:rPr>
          <w:rFonts w:hint="eastAsia" w:ascii="仿宋" w:hAnsi="仿宋" w:eastAsia="仿宋" w:cs="仿宋"/>
          <w:color w:val="000000"/>
          <w:kern w:val="0"/>
          <w:sz w:val="31"/>
          <w:szCs w:val="31"/>
          <w:lang w:bidi="ar"/>
        </w:rPr>
        <w:t>退票处理。</w:t>
      </w:r>
    </w:p>
    <w:p>
      <w:pPr>
        <w:spacing w:line="590" w:lineRule="exact"/>
        <w:ind w:firstLine="620" w:firstLineChars="200"/>
        <w:rPr>
          <w:rFonts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解付行完成实物确认并保管的纸票，可</w:t>
      </w:r>
      <w:r>
        <w:rPr>
          <w:rFonts w:ascii="仿宋" w:hAnsi="仿宋" w:eastAsia="仿宋"/>
          <w:sz w:val="32"/>
          <w:szCs w:val="32"/>
        </w:rPr>
        <w:t>根据申请</w:t>
      </w:r>
      <w:r>
        <w:rPr>
          <w:rFonts w:hint="eastAsia" w:ascii="仿宋" w:hAnsi="仿宋" w:eastAsia="仿宋"/>
          <w:sz w:val="32"/>
          <w:szCs w:val="32"/>
        </w:rPr>
        <w:t>人的线下申请向其发起库存退票申请，退回保管的纸票。</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numPr>
          <w:ilvl w:val="0"/>
          <w:numId w:val="26"/>
        </w:numPr>
        <w:spacing w:line="590" w:lineRule="exact"/>
        <w:ind w:firstLine="640" w:firstLineChars="200"/>
        <w:rPr>
          <w:rFonts w:ascii="仿宋" w:hAnsi="仿宋" w:eastAsia="仿宋"/>
          <w:sz w:val="32"/>
          <w:szCs w:val="32"/>
        </w:rPr>
      </w:pPr>
      <w:r>
        <w:rPr>
          <w:rFonts w:ascii="仿宋" w:hAnsi="仿宋" w:eastAsia="仿宋"/>
          <w:sz w:val="32"/>
          <w:szCs w:val="32"/>
        </w:rPr>
        <w:t>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票据在票交所的库存状态为：“已承兑保管”、“库存移出待应答”（适用于行内移库拒收退票的情况）、“保证增信移出待应答”（适用于保证增信拒收退票的情况）。</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票据在票交所的</w:t>
      </w:r>
      <w:r>
        <w:rPr>
          <w:rFonts w:ascii="仿宋" w:hAnsi="仿宋" w:eastAsia="仿宋"/>
          <w:sz w:val="32"/>
          <w:szCs w:val="32"/>
        </w:rPr>
        <w:t>票据</w:t>
      </w:r>
      <w:r>
        <w:rPr>
          <w:rFonts w:hint="eastAsia" w:ascii="仿宋" w:hAnsi="仿宋" w:eastAsia="仿宋"/>
          <w:sz w:val="32"/>
          <w:szCs w:val="32"/>
        </w:rPr>
        <w:t>状态</w:t>
      </w:r>
      <w:r>
        <w:rPr>
          <w:rFonts w:ascii="仿宋" w:hAnsi="仿宋" w:eastAsia="仿宋"/>
          <w:sz w:val="32"/>
          <w:szCs w:val="32"/>
        </w:rPr>
        <w:t>不</w:t>
      </w:r>
      <w:r>
        <w:rPr>
          <w:rFonts w:hint="eastAsia" w:ascii="仿宋" w:hAnsi="仿宋" w:eastAsia="仿宋"/>
          <w:sz w:val="32"/>
          <w:szCs w:val="32"/>
        </w:rPr>
        <w:t>可为“</w:t>
      </w:r>
      <w:r>
        <w:rPr>
          <w:rFonts w:ascii="仿宋" w:hAnsi="仿宋" w:eastAsia="仿宋"/>
          <w:sz w:val="32"/>
          <w:szCs w:val="32"/>
        </w:rPr>
        <w:t>已结清</w:t>
      </w:r>
      <w:r>
        <w:rPr>
          <w:rFonts w:hint="eastAsia" w:ascii="仿宋" w:hAnsi="仿宋" w:eastAsia="仿宋"/>
          <w:sz w:val="32"/>
          <w:szCs w:val="32"/>
        </w:rPr>
        <w:t>”</w:t>
      </w:r>
      <w:r>
        <w:rPr>
          <w:rFonts w:ascii="仿宋" w:hAnsi="仿宋" w:eastAsia="仿宋"/>
          <w:sz w:val="32"/>
          <w:szCs w:val="32"/>
        </w:rPr>
        <w:t>或</w:t>
      </w:r>
      <w:r>
        <w:rPr>
          <w:rFonts w:hint="eastAsia" w:ascii="仿宋" w:hAnsi="仿宋" w:eastAsia="仿宋"/>
          <w:sz w:val="32"/>
          <w:szCs w:val="32"/>
        </w:rPr>
        <w:t>“</w:t>
      </w:r>
      <w:r>
        <w:rPr>
          <w:rFonts w:ascii="仿宋" w:hAnsi="仿宋" w:eastAsia="仿宋"/>
          <w:sz w:val="32"/>
          <w:szCs w:val="32"/>
        </w:rPr>
        <w:t>已终止</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若库存变更类型为“行内移库拒收退票”、“保证增信拒收退票”时，退票申请的库存移出机构，应与前序库存移库申请或保证增信申请的接收人一致；库存移入机构，应与前序库存移库申请或保证增信申请发起时的原票据保管机构一致。</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解付行发起库存退票申请（库存变更类型为“退回瑕疵票据”、“退回线下追偿票据”、“退回公示催告票据”）时，库存移出机构应为票据保管机构即解付行；库存移入机构应为：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若库存变更类型为“退回瑕疵票据”，库存移入机构为原付款确认申请的申请人；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若库存变更类型为“退回线下追偿票据”，库存移入机构为贴现的贴入人；</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若库存变更类型为“退回公示催告票据”，库存移入机构为当前的持票人或已质押未解除的质权人。</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票据保管机构</w:t>
      </w:r>
      <w:r>
        <w:rPr>
          <w:rFonts w:ascii="仿宋" w:hAnsi="仿宋" w:eastAsia="仿宋"/>
          <w:sz w:val="32"/>
          <w:szCs w:val="32"/>
        </w:rPr>
        <w:t>选择</w:t>
      </w:r>
      <w:r>
        <w:rPr>
          <w:rFonts w:hint="eastAsia" w:ascii="仿宋" w:hAnsi="仿宋" w:eastAsia="仿宋"/>
          <w:sz w:val="32"/>
          <w:szCs w:val="32"/>
        </w:rPr>
        <w:t>保管</w:t>
      </w:r>
      <w:r>
        <w:rPr>
          <w:rFonts w:ascii="仿宋" w:hAnsi="仿宋" w:eastAsia="仿宋"/>
          <w:sz w:val="32"/>
          <w:szCs w:val="32"/>
        </w:rPr>
        <w:t>票据，</w:t>
      </w:r>
      <w:r>
        <w:rPr>
          <w:rFonts w:hint="eastAsia" w:ascii="仿宋" w:hAnsi="仿宋" w:eastAsia="仿宋"/>
          <w:sz w:val="32"/>
          <w:szCs w:val="32"/>
        </w:rPr>
        <w:t>向票交所发送库存变更</w:t>
      </w:r>
      <w:r>
        <w:rPr>
          <w:rFonts w:ascii="仿宋" w:hAnsi="仿宋" w:eastAsia="仿宋"/>
          <w:sz w:val="32"/>
          <w:szCs w:val="32"/>
        </w:rPr>
        <w:t>申请</w:t>
      </w:r>
      <w:r>
        <w:rPr>
          <w:rFonts w:hint="eastAsia" w:ascii="仿宋" w:hAnsi="仿宋" w:eastAsia="仿宋"/>
          <w:sz w:val="32"/>
          <w:szCs w:val="32"/>
        </w:rPr>
        <w:t>，需提供的要素信息包括：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（2）库存变更类型（“退回瑕疵票据”、“退回线下追偿票据”、“退回公示催告票据”）、库存移出申请日期、库存移出机构的参与者代码、库存移入机构的参与者代码；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（3）备注。</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2.解付行发起库存退票的，</w:t>
      </w:r>
      <w:r>
        <w:rPr>
          <w:rFonts w:hint="eastAsia" w:ascii="仿宋" w:hAnsi="仿宋" w:eastAsia="仿宋" w:cs="仿宋"/>
          <w:sz w:val="32"/>
          <w:szCs w:val="32"/>
        </w:rPr>
        <w:t>可以撤销待应答的库存退票申请。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库存变更申请的接收人在收到票交所转发的库存变更申请后，</w:t>
      </w:r>
      <w:r>
        <w:rPr>
          <w:rFonts w:ascii="仿宋" w:hAnsi="仿宋" w:eastAsia="仿宋"/>
          <w:sz w:val="32"/>
          <w:szCs w:val="32"/>
        </w:rPr>
        <w:t>进行应答</w:t>
      </w:r>
      <w:r>
        <w:rPr>
          <w:rFonts w:hint="eastAsia" w:ascii="仿宋" w:hAnsi="仿宋" w:eastAsia="仿宋"/>
          <w:sz w:val="32"/>
          <w:szCs w:val="32"/>
        </w:rPr>
        <w:t>。</w:t>
      </w:r>
    </w:p>
    <w:p>
      <w:pPr>
        <w:spacing w:line="590" w:lineRule="exact"/>
        <w:ind w:firstLine="640" w:firstLineChars="200"/>
        <w:rPr>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票交所向申请人转发接收人的应答结果。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5.库存变更的接收人应答同意后，票交所向持票人、已质押未解除票据的质权人下发库存变更情况的通知，通知的要素信息包括：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（2）库存变更类型、库存移出申请日期、库存移出机构的参与者代码、库存移入日期、库存移入机构的参与者代码；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（3）库存移出申请备注、库存移入应答备注。</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6.库存变更申请、保证增信申请应答为拒绝的，票交所为库存变更或保证增信申请的接收人向原申请人发起库存变更类型为“行内移库拒收退票”、“保证增信拒收退票”的库存退票变更申请。</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384" w:name="_Toc15906"/>
      <w:bookmarkStart w:id="1385" w:name="_Toc32541"/>
      <w:bookmarkStart w:id="1386" w:name="_Toc24597"/>
      <w:bookmarkStart w:id="1387" w:name="_Toc19224"/>
      <w:bookmarkStart w:id="1388" w:name="_Toc17482"/>
      <w:bookmarkStart w:id="1389" w:name="_Toc4955"/>
      <w:bookmarkStart w:id="1390" w:name="_Toc1330"/>
      <w:bookmarkStart w:id="1391" w:name="_Toc1867"/>
      <w:bookmarkStart w:id="1392" w:name="_Toc19755"/>
      <w:bookmarkStart w:id="1393" w:name="_Toc19828"/>
      <w:bookmarkStart w:id="1394" w:name="_Toc21451"/>
      <w:bookmarkStart w:id="1395" w:name="_Toc12620"/>
      <w:bookmarkStart w:id="1396" w:name="_Toc30860"/>
      <w:bookmarkStart w:id="1397" w:name="_Toc3473"/>
      <w:bookmarkStart w:id="1398" w:name="_Toc12725"/>
      <w:bookmarkStart w:id="1399" w:name="_Toc24591703"/>
      <w:bookmarkStart w:id="1400" w:name="_Toc16820"/>
      <w:r>
        <w:rPr>
          <w:rFonts w:hint="eastAsia" w:ascii="仿宋" w:hAnsi="仿宋" w:eastAsia="仿宋" w:cs="仿宋"/>
          <w:b/>
          <w:sz w:val="32"/>
          <w:szCs w:val="32"/>
        </w:rPr>
        <w:t>5.6 纸票的保证增信</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[业务概述]</w:t>
      </w:r>
    </w:p>
    <w:p>
      <w:pPr>
        <w:numPr>
          <w:ilvl w:val="255"/>
          <w:numId w:val="0"/>
        </w:numPr>
        <w:tabs>
          <w:tab w:val="left" w:pos="2696"/>
        </w:tabs>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保证增信是指银行业金融机构接受纸票的权属初始登记人即票据权利人委托，保管票据实物并先于贴入人承担偿付责任的增信行为。</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仿宋" w:hAnsi="仿宋" w:eastAsia="仿宋"/>
          <w:b/>
          <w:bCs/>
          <w:sz w:val="32"/>
          <w:szCs w:val="32"/>
        </w:rPr>
        <w:t>业务规则</w:t>
      </w:r>
      <w:r>
        <w:rPr>
          <w:rFonts w:ascii="仿宋" w:hAnsi="仿宋" w:eastAsia="仿宋"/>
          <w:b/>
          <w:bCs/>
          <w:sz w:val="32"/>
          <w:szCs w:val="32"/>
        </w:rPr>
        <w:t>]</w:t>
      </w:r>
    </w:p>
    <w:p>
      <w:pPr>
        <w:spacing w:line="590" w:lineRule="exact"/>
        <w:ind w:firstLine="640" w:firstLineChars="200"/>
        <w:rPr>
          <w:rFonts w:ascii="仿宋" w:hAnsi="仿宋" w:eastAsia="仿宋"/>
          <w:sz w:val="32"/>
          <w:szCs w:val="32"/>
        </w:rPr>
      </w:pPr>
      <w:r>
        <w:rPr>
          <w:rFonts w:ascii="仿宋" w:hAnsi="仿宋" w:eastAsia="仿宋"/>
          <w:sz w:val="32"/>
          <w:szCs w:val="32"/>
        </w:rPr>
        <w:t>1.业务要素</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（1）票据在票交所的库存状态为“已保管”，已完成实物确认的纸票不可发起保证增信申请。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（2）贴入人</w:t>
      </w:r>
      <w:r>
        <w:rPr>
          <w:rFonts w:ascii="仿宋" w:hAnsi="仿宋" w:eastAsia="仿宋"/>
          <w:sz w:val="32"/>
          <w:szCs w:val="32"/>
        </w:rPr>
        <w:t>在完成贴现</w:t>
      </w:r>
      <w:r>
        <w:rPr>
          <w:rFonts w:hint="eastAsia" w:ascii="仿宋" w:hAnsi="仿宋" w:eastAsia="仿宋"/>
          <w:sz w:val="32"/>
          <w:szCs w:val="32"/>
        </w:rPr>
        <w:t>信息</w:t>
      </w:r>
      <w:r>
        <w:rPr>
          <w:rFonts w:ascii="仿宋" w:hAnsi="仿宋" w:eastAsia="仿宋"/>
          <w:sz w:val="32"/>
          <w:szCs w:val="32"/>
        </w:rPr>
        <w:t>登记后，</w:t>
      </w:r>
      <w:r>
        <w:rPr>
          <w:rFonts w:hint="eastAsia" w:ascii="仿宋" w:hAnsi="仿宋" w:eastAsia="仿宋"/>
          <w:sz w:val="32"/>
          <w:szCs w:val="32"/>
        </w:rPr>
        <w:t>可</w:t>
      </w:r>
      <w:r>
        <w:rPr>
          <w:rFonts w:ascii="仿宋" w:hAnsi="仿宋" w:eastAsia="仿宋"/>
          <w:sz w:val="32"/>
          <w:szCs w:val="32"/>
        </w:rPr>
        <w:t>发起保证增信申请。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（3）风险状态票据，不可办理保证增信的申请或应答。</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业务主体</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保证增信申请的申请人为贴入人即贴现信息登记机构。</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2）保证增信</w:t>
      </w:r>
      <w:r>
        <w:rPr>
          <w:rFonts w:hint="eastAsia" w:ascii="仿宋" w:hAnsi="仿宋" w:eastAsia="仿宋"/>
          <w:sz w:val="32"/>
          <w:szCs w:val="32"/>
        </w:rPr>
        <w:t>申请的接收人为已接入票交所的银行业金融机构</w:t>
      </w:r>
      <w:r>
        <w:rPr>
          <w:rFonts w:ascii="仿宋" w:hAnsi="仿宋" w:eastAsia="仿宋"/>
          <w:sz w:val="32"/>
          <w:szCs w:val="32"/>
        </w:rPr>
        <w:t>。</w:t>
      </w:r>
    </w:p>
    <w:p>
      <w:pPr>
        <w:spacing w:line="590" w:lineRule="exact"/>
        <w:ind w:firstLine="643" w:firstLineChars="200"/>
        <w:rPr>
          <w:rFonts w:ascii="仿宋" w:hAnsi="仿宋" w:eastAsia="仿宋"/>
          <w:b/>
          <w:bCs/>
          <w:sz w:val="32"/>
          <w:szCs w:val="32"/>
        </w:rPr>
      </w:pPr>
      <w:r>
        <w:rPr>
          <w:rFonts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1.贴现的贴入人</w:t>
      </w:r>
      <w:r>
        <w:rPr>
          <w:rFonts w:ascii="仿宋" w:hAnsi="仿宋" w:eastAsia="仿宋"/>
          <w:sz w:val="32"/>
          <w:szCs w:val="32"/>
        </w:rPr>
        <w:t>选择符合条件的票据，选定保证增信</w:t>
      </w:r>
      <w:r>
        <w:rPr>
          <w:rFonts w:hint="eastAsia" w:ascii="仿宋" w:hAnsi="仿宋" w:eastAsia="仿宋"/>
          <w:sz w:val="32"/>
          <w:szCs w:val="32"/>
        </w:rPr>
        <w:t>人</w:t>
      </w:r>
      <w:r>
        <w:rPr>
          <w:rFonts w:ascii="仿宋" w:hAnsi="仿宋" w:eastAsia="仿宋"/>
          <w:sz w:val="32"/>
          <w:szCs w:val="32"/>
        </w:rPr>
        <w:t>后</w:t>
      </w:r>
      <w:r>
        <w:rPr>
          <w:rFonts w:hint="eastAsia" w:ascii="仿宋" w:hAnsi="仿宋" w:eastAsia="仿宋"/>
          <w:sz w:val="32"/>
          <w:szCs w:val="32"/>
        </w:rPr>
        <w:t>向票交所发送</w:t>
      </w:r>
      <w:r>
        <w:rPr>
          <w:rFonts w:ascii="仿宋" w:hAnsi="仿宋" w:eastAsia="仿宋"/>
          <w:sz w:val="32"/>
          <w:szCs w:val="32"/>
        </w:rPr>
        <w:t>保证增信</w:t>
      </w:r>
      <w:r>
        <w:rPr>
          <w:rFonts w:hint="eastAsia" w:ascii="仿宋" w:hAnsi="仿宋" w:eastAsia="仿宋"/>
          <w:sz w:val="32"/>
          <w:szCs w:val="32"/>
        </w:rPr>
        <w:t>申请，需要提供的要素信息包括：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（1）票据号码、票据金额；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（2）保证增信申请日期、保证增信申请人的参与者代码、票据保管机构的参与者代码、保证增信人的参与者代码；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（3）备注。</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2.贴入人可以撤销待应答的保证增信申请。</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保证增信</w:t>
      </w:r>
      <w:r>
        <w:rPr>
          <w:rFonts w:hint="eastAsia" w:ascii="仿宋" w:hAnsi="仿宋" w:eastAsia="仿宋"/>
          <w:sz w:val="32"/>
          <w:szCs w:val="32"/>
        </w:rPr>
        <w:t>的接收人在</w:t>
      </w:r>
      <w:r>
        <w:rPr>
          <w:rFonts w:ascii="仿宋" w:hAnsi="仿宋" w:eastAsia="仿宋"/>
          <w:sz w:val="32"/>
          <w:szCs w:val="32"/>
        </w:rPr>
        <w:t>收到票交所转发的申请</w:t>
      </w:r>
      <w:r>
        <w:rPr>
          <w:rFonts w:hint="eastAsia" w:ascii="仿宋" w:hAnsi="仿宋" w:eastAsia="仿宋"/>
          <w:sz w:val="32"/>
          <w:szCs w:val="32"/>
        </w:rPr>
        <w:t>后，</w:t>
      </w:r>
      <w:r>
        <w:rPr>
          <w:rFonts w:ascii="仿宋" w:hAnsi="仿宋" w:eastAsia="仿宋"/>
          <w:sz w:val="32"/>
          <w:szCs w:val="32"/>
        </w:rPr>
        <w:t>进行应答。</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票交所</w:t>
      </w:r>
      <w:r>
        <w:rPr>
          <w:rFonts w:hint="eastAsia" w:ascii="仿宋" w:hAnsi="仿宋" w:eastAsia="仿宋"/>
          <w:sz w:val="32"/>
          <w:szCs w:val="32"/>
        </w:rPr>
        <w:t>向申请人转发接收人的应答结果。</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发起保证增信申请前，如票据保管机构已收到解付行应答的付款确认结果，需重新发起付款确认申请的，票交所将需重新发起的付款确认待处理任务与保证增信申请一并转发至保证增信人，保证增信人可补充办理后续的付款确认业务。</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6.通过票交所客户端办理保证增信的：</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（1）若贴现的贴入人已办理库存变更（库存变更类型为“行内移库”）、未自行保管票据实物的，应在客户端发起“</w:t>
      </w:r>
      <w:r>
        <w:rPr>
          <w:rFonts w:hint="eastAsia" w:ascii="仿宋" w:hAnsi="仿宋" w:eastAsia="仿宋"/>
          <w:bCs/>
          <w:sz w:val="32"/>
          <w:szCs w:val="32"/>
        </w:rPr>
        <w:t>非自保管票据的保证增信申请”，</w:t>
      </w:r>
      <w:r>
        <w:rPr>
          <w:rFonts w:hint="eastAsia" w:ascii="仿宋" w:hAnsi="仿宋" w:eastAsia="仿宋"/>
          <w:sz w:val="32"/>
          <w:szCs w:val="32"/>
        </w:rPr>
        <w:t>由票据保管机构收到申请后，向保证增信人发起保证增信申请并移送票据实物。</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（2）若贴现的贴入人即为票据保管机构的，发起保证增信申请后，需向保证增信人移送票据实物。</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1401" w:name="_Toc13981"/>
      <w:bookmarkStart w:id="1402" w:name="_Toc17890"/>
      <w:bookmarkStart w:id="1403" w:name="_Toc30053"/>
      <w:bookmarkStart w:id="1404" w:name="_Toc18505"/>
      <w:bookmarkStart w:id="1405" w:name="_Toc20266"/>
      <w:bookmarkStart w:id="1406" w:name="_Toc6096"/>
      <w:bookmarkStart w:id="1407" w:name="_Toc2378"/>
      <w:bookmarkStart w:id="1408" w:name="_Toc30468"/>
      <w:bookmarkStart w:id="1409" w:name="_Toc7596"/>
      <w:bookmarkStart w:id="1410" w:name="_Toc22049"/>
      <w:bookmarkStart w:id="1411" w:name="_Toc10441"/>
      <w:bookmarkStart w:id="1412" w:name="_Toc8154"/>
      <w:bookmarkStart w:id="1413" w:name="_Toc2768"/>
      <w:bookmarkStart w:id="1414" w:name="_Toc16857"/>
      <w:bookmarkStart w:id="1415" w:name="_Toc20887"/>
      <w:bookmarkStart w:id="1416" w:name="_Toc322119197"/>
      <w:bookmarkStart w:id="1417" w:name="_Toc29730"/>
      <w:r>
        <w:rPr>
          <w:rFonts w:hint="eastAsia" w:ascii="仿宋" w:hAnsi="仿宋" w:eastAsia="仿宋" w:cs="仿宋"/>
          <w:b/>
          <w:sz w:val="32"/>
          <w:szCs w:val="32"/>
        </w:rPr>
        <w:t xml:space="preserve">5.7 </w:t>
      </w:r>
      <w:bookmarkEnd w:id="1401"/>
      <w:r>
        <w:rPr>
          <w:rFonts w:hint="eastAsia" w:ascii="仿宋" w:hAnsi="仿宋" w:eastAsia="仿宋" w:cs="仿宋"/>
          <w:b/>
          <w:sz w:val="32"/>
          <w:szCs w:val="32"/>
        </w:rPr>
        <w:t>纸票的权属初始登记</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widowControl/>
        <w:shd w:val="clear" w:color="auto" w:fill="FFFFFF"/>
        <w:spacing w:line="590" w:lineRule="exact"/>
        <w:ind w:firstLine="640" w:firstLineChars="200"/>
        <w:rPr>
          <w:rFonts w:ascii="仿宋" w:hAnsi="仿宋" w:eastAsia="仿宋"/>
          <w:sz w:val="32"/>
          <w:szCs w:val="32"/>
          <w:shd w:val="clear" w:color="auto" w:fill="FFFFFF"/>
          <w:lang w:bidi="ar"/>
        </w:rPr>
      </w:pPr>
      <w:r>
        <w:rPr>
          <w:rFonts w:hint="eastAsia" w:ascii="仿宋" w:hAnsi="仿宋" w:eastAsia="仿宋"/>
          <w:sz w:val="32"/>
          <w:szCs w:val="32"/>
        </w:rPr>
        <w:t>贴入人</w:t>
      </w:r>
      <w:r>
        <w:rPr>
          <w:rFonts w:hint="eastAsia" w:ascii="仿宋" w:hAnsi="仿宋" w:eastAsia="仿宋"/>
          <w:sz w:val="32"/>
          <w:szCs w:val="32"/>
          <w:shd w:val="clear" w:color="auto" w:fill="FFFFFF"/>
        </w:rPr>
        <w:t>在纸票背面或粘单加盖电子登记权属章</w:t>
      </w:r>
      <w:r>
        <w:rPr>
          <w:rFonts w:hint="eastAsia" w:ascii="仿宋" w:hAnsi="仿宋" w:eastAsia="仿宋"/>
          <w:sz w:val="32"/>
          <w:szCs w:val="32"/>
          <w:shd w:val="clear" w:color="auto" w:fill="FFFFFF"/>
          <w:lang w:bidi="ar"/>
        </w:rPr>
        <w:t>,并</w:t>
      </w:r>
      <w:r>
        <w:rPr>
          <w:rFonts w:hint="eastAsia" w:ascii="仿宋" w:hAnsi="仿宋" w:eastAsia="仿宋"/>
          <w:sz w:val="32"/>
          <w:szCs w:val="32"/>
          <w:shd w:val="clear" w:color="auto" w:fill="FFFFFF"/>
        </w:rPr>
        <w:t>完成纸票的贴现信息登记后，票交所记载相关权属信息。票据</w:t>
      </w:r>
      <w:r>
        <w:rPr>
          <w:rFonts w:hint="eastAsia" w:ascii="仿宋" w:hAnsi="仿宋" w:eastAsia="仿宋"/>
          <w:sz w:val="32"/>
          <w:szCs w:val="32"/>
          <w:shd w:val="clear" w:color="auto" w:fill="FFFFFF"/>
          <w:lang w:bidi="ar"/>
        </w:rPr>
        <w:t>不得再以纸质形式进行背书转让、设立质押或者其他交易行为。</w:t>
      </w:r>
    </w:p>
    <w:p>
      <w:pPr>
        <w:widowControl/>
        <w:shd w:val="clear" w:color="auto" w:fill="FFFFFF"/>
        <w:spacing w:line="590" w:lineRule="exact"/>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lang w:bidi="ar"/>
        </w:rPr>
        <w:t>贴入人可在票交所设置参数，指定贴入人对应的权属初始登记人（应与贴入人归属同一法人）。贴入人完成贴现信息登记后，票交所将纸票的权属人登记为贴入人指定的权属初始登记人。</w:t>
      </w:r>
    </w:p>
    <w:p>
      <w:pPr>
        <w:widowControl/>
        <w:shd w:val="clear" w:color="auto" w:fill="FFFFFF"/>
        <w:spacing w:line="590" w:lineRule="exact"/>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贴入人应当确保其提交的登记信息真实、有效，并承担因登记信息错误造成损失的赔偿责任。</w:t>
      </w:r>
    </w:p>
    <w:p>
      <w:pPr>
        <w:spacing w:line="590" w:lineRule="exact"/>
        <w:ind w:firstLine="640" w:firstLineChars="200"/>
        <w:rPr>
          <w:rFonts w:ascii="仿宋" w:hAnsi="仿宋" w:eastAsia="仿宋"/>
          <w:sz w:val="32"/>
          <w:szCs w:val="32"/>
        </w:rPr>
      </w:pPr>
      <w:r>
        <w:rPr>
          <w:rFonts w:hint="eastAsia" w:ascii="仿宋" w:hAnsi="仿宋" w:eastAsia="仿宋"/>
          <w:sz w:val="32"/>
          <w:szCs w:val="32"/>
        </w:rPr>
        <w:br w:type="page"/>
      </w:r>
    </w:p>
    <w:p>
      <w:pPr>
        <w:spacing w:line="590" w:lineRule="exact"/>
        <w:jc w:val="center"/>
        <w:outlineLvl w:val="0"/>
        <w:rPr>
          <w:rFonts w:ascii="仿宋" w:hAnsi="仿宋" w:eastAsia="仿宋" w:cs="仿宋"/>
          <w:b/>
          <w:bCs/>
          <w:sz w:val="32"/>
          <w:szCs w:val="32"/>
        </w:rPr>
      </w:pPr>
      <w:bookmarkStart w:id="1418" w:name="_Toc7931"/>
      <w:bookmarkStart w:id="1419" w:name="_Toc689"/>
      <w:bookmarkStart w:id="1420" w:name="_Toc12393"/>
      <w:bookmarkStart w:id="1421" w:name="_Toc21309"/>
      <w:bookmarkStart w:id="1422" w:name="_Toc139131668"/>
      <w:bookmarkStart w:id="1423" w:name="_Toc2540"/>
      <w:r>
        <w:rPr>
          <w:rFonts w:hint="eastAsia" w:ascii="仿宋" w:hAnsi="仿宋" w:eastAsia="仿宋" w:cs="仿宋"/>
          <w:b/>
          <w:bCs/>
          <w:kern w:val="44"/>
          <w:sz w:val="40"/>
          <w:szCs w:val="40"/>
        </w:rPr>
        <w:t>第六章 票据的交易和再贴现</w:t>
      </w:r>
      <w:bookmarkEnd w:id="739"/>
      <w:bookmarkEnd w:id="754"/>
      <w:bookmarkEnd w:id="755"/>
      <w:bookmarkEnd w:id="1106"/>
      <w:bookmarkEnd w:id="1124"/>
      <w:bookmarkEnd w:id="1125"/>
      <w:bookmarkEnd w:id="1126"/>
      <w:bookmarkEnd w:id="1127"/>
      <w:bookmarkEnd w:id="1128"/>
      <w:bookmarkEnd w:id="1129"/>
      <w:bookmarkEnd w:id="1130"/>
      <w:bookmarkEnd w:id="1418"/>
      <w:bookmarkEnd w:id="1419"/>
      <w:bookmarkEnd w:id="1420"/>
      <w:bookmarkEnd w:id="1421"/>
      <w:bookmarkEnd w:id="1422"/>
      <w:bookmarkEnd w:id="1423"/>
    </w:p>
    <w:p>
      <w:pPr>
        <w:spacing w:line="590" w:lineRule="exact"/>
        <w:ind w:firstLine="643" w:firstLineChars="200"/>
        <w:rPr>
          <w:rFonts w:ascii="仿宋" w:hAnsi="仿宋" w:eastAsia="仿宋" w:cs="仿宋"/>
          <w:b/>
          <w:sz w:val="32"/>
          <w:szCs w:val="32"/>
        </w:rPr>
      </w:pPr>
    </w:p>
    <w:p>
      <w:pPr>
        <w:spacing w:line="590" w:lineRule="exact"/>
        <w:ind w:firstLine="643" w:firstLineChars="200"/>
        <w:outlineLvl w:val="1"/>
        <w:rPr>
          <w:rFonts w:ascii="仿宋" w:hAnsi="仿宋" w:eastAsia="仿宋" w:cs="仿宋"/>
          <w:b/>
          <w:sz w:val="32"/>
          <w:szCs w:val="32"/>
        </w:rPr>
      </w:pPr>
      <w:bookmarkStart w:id="1424" w:name="_Toc13499"/>
      <w:bookmarkStart w:id="1425" w:name="_Toc4914"/>
      <w:bookmarkStart w:id="1426" w:name="_Toc28973"/>
      <w:bookmarkStart w:id="1427" w:name="_Toc12426"/>
      <w:bookmarkStart w:id="1428" w:name="_Toc20461"/>
      <w:bookmarkStart w:id="1429" w:name="_Toc28425"/>
      <w:bookmarkStart w:id="1430" w:name="_Toc18838"/>
      <w:bookmarkStart w:id="1431" w:name="_Toc6377"/>
      <w:bookmarkStart w:id="1432" w:name="_Toc16495"/>
      <w:bookmarkStart w:id="1433" w:name="_Toc2412"/>
      <w:bookmarkStart w:id="1434" w:name="_Toc1150"/>
      <w:bookmarkStart w:id="1435" w:name="_Toc8794"/>
      <w:bookmarkStart w:id="1436" w:name="_Toc9308"/>
      <w:bookmarkStart w:id="1437" w:name="_Toc28697"/>
      <w:bookmarkStart w:id="1438" w:name="_Toc5611"/>
      <w:bookmarkStart w:id="1439" w:name="_Toc6651"/>
      <w:bookmarkStart w:id="1440" w:name="_Toc422509704"/>
      <w:r>
        <w:rPr>
          <w:rFonts w:hint="eastAsia" w:ascii="仿宋" w:hAnsi="仿宋" w:eastAsia="仿宋" w:cs="仿宋"/>
          <w:b/>
          <w:sz w:val="32"/>
          <w:szCs w:val="32"/>
        </w:rPr>
        <w:t>6.1 交易前准备</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1.业务参与者应当依照票交所有关规定在票交所开立独立的票据托管账户和资金账户。</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2.开展票据交易前，业务参与者应当在票据业务系统中建立用户账号，并赋予账号相关交易权限。</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3.业务参与者应当通过规范程序授权具备票据交易能力的专业人员（以下简称交易员）通过用户账号代表其进行票据交易。</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4.票据经贴现并在票交所完成权属登记后即可进行交易。</w:t>
      </w:r>
    </w:p>
    <w:p>
      <w:pPr>
        <w:numPr>
          <w:ilvl w:val="255"/>
          <w:numId w:val="0"/>
        </w:numPr>
        <w:tabs>
          <w:tab w:val="left" w:pos="1060"/>
        </w:tabs>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sz w:val="32"/>
          <w:szCs w:val="32"/>
        </w:rPr>
      </w:pPr>
      <w:bookmarkStart w:id="1441" w:name="_Toc9932"/>
      <w:bookmarkStart w:id="1442" w:name="_Toc26822"/>
      <w:bookmarkStart w:id="1443" w:name="_Toc5845"/>
      <w:bookmarkStart w:id="1444" w:name="_Toc7267"/>
      <w:bookmarkStart w:id="1445" w:name="_Toc30715"/>
      <w:bookmarkStart w:id="1446" w:name="_Toc16122"/>
      <w:bookmarkStart w:id="1447" w:name="_Toc17131"/>
      <w:bookmarkStart w:id="1448" w:name="_Toc6309"/>
      <w:bookmarkStart w:id="1449" w:name="_Toc23385"/>
      <w:bookmarkStart w:id="1450" w:name="_Toc817972335"/>
      <w:bookmarkStart w:id="1451" w:name="_Toc13873"/>
      <w:bookmarkStart w:id="1452" w:name="_Toc6014"/>
      <w:bookmarkStart w:id="1453" w:name="_Toc7121"/>
      <w:bookmarkStart w:id="1454" w:name="_Toc11379"/>
      <w:bookmarkStart w:id="1455" w:name="_Toc13760"/>
      <w:bookmarkStart w:id="1456" w:name="_Toc8336"/>
      <w:bookmarkStart w:id="1457" w:name="_Toc27159"/>
      <w:r>
        <w:rPr>
          <w:rFonts w:hint="eastAsia" w:ascii="仿宋" w:hAnsi="仿宋" w:eastAsia="仿宋" w:cs="仿宋"/>
          <w:b/>
          <w:sz w:val="32"/>
          <w:szCs w:val="32"/>
        </w:rPr>
        <w:t>6.2 票据交易</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spacing w:line="590" w:lineRule="exact"/>
        <w:ind w:firstLine="643" w:firstLineChars="200"/>
        <w:outlineLvl w:val="2"/>
        <w:rPr>
          <w:rFonts w:ascii="仿宋" w:hAnsi="仿宋" w:eastAsia="仿宋" w:cs="仿宋"/>
          <w:b/>
          <w:bCs/>
          <w:sz w:val="32"/>
          <w:szCs w:val="32"/>
        </w:rPr>
      </w:pPr>
      <w:bookmarkStart w:id="1458" w:name="_Toc131434726"/>
      <w:bookmarkStart w:id="1459" w:name="_Toc24525"/>
      <w:bookmarkStart w:id="1460" w:name="_Toc12339"/>
      <w:r>
        <w:rPr>
          <w:rFonts w:hint="eastAsia" w:ascii="仿宋" w:hAnsi="仿宋" w:eastAsia="仿宋" w:cs="仿宋"/>
          <w:b/>
          <w:bCs/>
          <w:sz w:val="32"/>
          <w:szCs w:val="32"/>
        </w:rPr>
        <w:t>6.2.1 业务概述</w:t>
      </w:r>
      <w:bookmarkEnd w:id="1458"/>
      <w:bookmarkEnd w:id="1459"/>
      <w:bookmarkEnd w:id="1460"/>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票据交易包括票据转贴现、票据质押式回购和票据买断式回购等。</w:t>
      </w:r>
    </w:p>
    <w:p>
      <w:pPr>
        <w:numPr>
          <w:ilvl w:val="255"/>
          <w:numId w:val="0"/>
        </w:numPr>
        <w:tabs>
          <w:tab w:val="left" w:pos="2696"/>
        </w:tabs>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票据转贴现（简称“转贴现”）</w:t>
      </w:r>
      <w:r>
        <w:rPr>
          <w:rFonts w:hint="eastAsia" w:ascii="仿宋" w:hAnsi="仿宋" w:eastAsia="仿宋" w:cs="仿宋"/>
          <w:sz w:val="32"/>
          <w:szCs w:val="32"/>
          <w:lang w:bidi="ar"/>
        </w:rPr>
        <w:t>指卖出方将未到期的已贴现票据向买入方转让的交易行为。</w:t>
      </w:r>
    </w:p>
    <w:p>
      <w:pPr>
        <w:numPr>
          <w:ilvl w:val="255"/>
          <w:numId w:val="0"/>
        </w:numPr>
        <w:tabs>
          <w:tab w:val="left" w:pos="2696"/>
        </w:tabs>
        <w:spacing w:line="590" w:lineRule="exact"/>
        <w:ind w:firstLine="643" w:firstLineChars="200"/>
        <w:rPr>
          <w:rFonts w:ascii="仿宋" w:hAnsi="仿宋" w:eastAsia="仿宋" w:cs="仿宋"/>
          <w:sz w:val="32"/>
          <w:szCs w:val="32"/>
          <w:lang w:bidi="ar"/>
        </w:rPr>
      </w:pPr>
      <w:r>
        <w:rPr>
          <w:rFonts w:hint="eastAsia" w:ascii="仿宋" w:hAnsi="仿宋" w:eastAsia="仿宋" w:cs="仿宋"/>
          <w:b/>
          <w:bCs/>
          <w:sz w:val="32"/>
          <w:szCs w:val="32"/>
          <w:lang w:bidi="ar"/>
        </w:rPr>
        <w:t>票据质押式回购（简称“质押式回购”）</w:t>
      </w:r>
      <w:r>
        <w:rPr>
          <w:rFonts w:hint="eastAsia" w:ascii="仿宋" w:hAnsi="仿宋" w:eastAsia="仿宋" w:cs="仿宋"/>
          <w:sz w:val="32"/>
          <w:szCs w:val="32"/>
          <w:lang w:bidi="ar"/>
        </w:rPr>
        <w:t>指正回购方在将票据出质给逆回购方融入资金的同时，双方约定在未来某一日期由正回购方按约定金额向逆回购方返还资金、逆回购方向正回购方返还出质票据质押的交易行为。</w:t>
      </w:r>
    </w:p>
    <w:p>
      <w:pPr>
        <w:spacing w:line="590" w:lineRule="exact"/>
        <w:ind w:firstLine="643" w:firstLineChars="200"/>
        <w:rPr>
          <w:rFonts w:ascii="仿宋" w:hAnsi="仿宋" w:eastAsia="仿宋" w:cs="仿宋"/>
          <w:sz w:val="32"/>
          <w:szCs w:val="32"/>
          <w:lang w:bidi="ar"/>
        </w:rPr>
      </w:pPr>
      <w:r>
        <w:rPr>
          <w:rFonts w:hint="eastAsia" w:ascii="仿宋" w:hAnsi="仿宋" w:eastAsia="仿宋" w:cs="仿宋"/>
          <w:b/>
          <w:bCs/>
          <w:sz w:val="32"/>
          <w:szCs w:val="32"/>
          <w:lang w:bidi="ar"/>
        </w:rPr>
        <w:t>票据买断式回购（简称“买断式回购”）</w:t>
      </w:r>
      <w:r>
        <w:rPr>
          <w:rFonts w:hint="eastAsia" w:ascii="仿宋" w:hAnsi="仿宋" w:eastAsia="仿宋" w:cs="仿宋"/>
          <w:sz w:val="32"/>
          <w:szCs w:val="32"/>
          <w:lang w:bidi="ar"/>
        </w:rPr>
        <w:t>指正回购方将票据卖给逆回购方的同时，双方约定在未来某一日期，正回购方再以约定价格从逆回购方买回票据的交易行为。</w:t>
      </w:r>
    </w:p>
    <w:p>
      <w:pPr>
        <w:spacing w:line="590" w:lineRule="exact"/>
        <w:ind w:firstLine="640" w:firstLineChars="200"/>
        <w:rPr>
          <w:rFonts w:ascii="仿宋" w:hAnsi="仿宋" w:eastAsia="仿宋" w:cs="仿宋"/>
          <w:sz w:val="32"/>
          <w:szCs w:val="32"/>
          <w:lang w:bidi="ar"/>
        </w:rPr>
      </w:pPr>
    </w:p>
    <w:p>
      <w:pPr>
        <w:spacing w:line="590" w:lineRule="exact"/>
        <w:ind w:firstLine="643" w:firstLineChars="200"/>
        <w:outlineLvl w:val="2"/>
        <w:rPr>
          <w:rFonts w:ascii="仿宋" w:hAnsi="仿宋" w:eastAsia="仿宋" w:cs="仿宋"/>
          <w:b/>
          <w:bCs/>
          <w:sz w:val="32"/>
          <w:szCs w:val="32"/>
        </w:rPr>
      </w:pPr>
      <w:bookmarkStart w:id="1461" w:name="_Toc7801"/>
      <w:bookmarkStart w:id="1462" w:name="_Toc28948"/>
      <w:bookmarkStart w:id="1463" w:name="_Toc31110"/>
      <w:bookmarkStart w:id="1464" w:name="_Toc18666"/>
      <w:bookmarkStart w:id="1465" w:name="_Toc1294262417"/>
      <w:bookmarkStart w:id="1466" w:name="_Toc12891"/>
      <w:bookmarkStart w:id="1467" w:name="_Toc5681"/>
      <w:bookmarkStart w:id="1468" w:name="_Toc24607"/>
      <w:bookmarkStart w:id="1469" w:name="_Toc5022"/>
      <w:bookmarkStart w:id="1470" w:name="_Toc25089"/>
      <w:bookmarkStart w:id="1471" w:name="_Toc28547"/>
      <w:bookmarkStart w:id="1472" w:name="_Toc6173"/>
      <w:r>
        <w:rPr>
          <w:rFonts w:hint="eastAsia" w:ascii="仿宋" w:hAnsi="仿宋" w:eastAsia="仿宋" w:cs="仿宋"/>
          <w:b/>
          <w:bCs/>
          <w:sz w:val="32"/>
          <w:szCs w:val="32"/>
        </w:rPr>
        <w:t>6.2.2 一般规定</w:t>
      </w:r>
      <w:bookmarkEnd w:id="1461"/>
      <w:bookmarkEnd w:id="1462"/>
      <w:bookmarkEnd w:id="1463"/>
      <w:bookmarkEnd w:id="1464"/>
      <w:bookmarkEnd w:id="1465"/>
      <w:bookmarkEnd w:id="1466"/>
      <w:bookmarkEnd w:id="1467"/>
      <w:bookmarkEnd w:id="1468"/>
      <w:bookmarkEnd w:id="1469"/>
      <w:bookmarkEnd w:id="1470"/>
      <w:bookmarkEnd w:id="1471"/>
      <w:bookmarkEnd w:id="1472"/>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1.交易日：交易日为每周一至周五，遇法定休假日调整除外。</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2.交易时段：不同金融机构法人、非法人类参与者间的交易时段为每交易日9:00-12:00,13:00-16:45；同一金融机构法人分支机构间的交易时段为每交易日9:00-17:30。</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3.计数规则：交易业务中使用的利率为年化利率，利率保留至小数点后4位。金额精确到分，分以下四舍五入。</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4.计息基准：计算利息金额时的日计数基准为实际天数/360，即计息天数按实际天数计算（算头不算尾），一年按360天计算。票据交易的应付利息、结算金额、收益率等根据票交所确定的计算公式和参数计算。</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5.交易要素：指票据交易报价和成交的具体条款，包括但不限于交易金额、交易利率、期限、结算日期等，不同交易品种的交易要素不同。（交易要素详见</w:t>
      </w:r>
      <w:r>
        <w:rPr>
          <w:rFonts w:hint="eastAsia" w:ascii="仿宋" w:hAnsi="仿宋" w:eastAsia="仿宋" w:cs="仿宋"/>
          <w:sz w:val="32"/>
          <w:szCs w:val="32"/>
          <w:lang w:eastAsia="zh-CN"/>
        </w:rPr>
        <w:t>附件16</w:t>
      </w:r>
      <w:r>
        <w:rPr>
          <w:rFonts w:hint="eastAsia" w:ascii="仿宋" w:hAnsi="仿宋" w:eastAsia="仿宋" w:cs="仿宋"/>
          <w:sz w:val="32"/>
          <w:szCs w:val="32"/>
        </w:rPr>
        <w:t>）</w:t>
      </w:r>
    </w:p>
    <w:p>
      <w:pPr>
        <w:numPr>
          <w:ilvl w:val="255"/>
          <w:numId w:val="0"/>
        </w:numPr>
        <w:tabs>
          <w:tab w:val="left" w:pos="1060"/>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经调整的下一营业日准则：如遇法定休假日调整，导致回购交易到期结算日不为法定休假日时，到期结算日的调整适用该准则。即一般情况下，到期结算日变更为下一营业日；如下一营业日跨月，则到期结算日变更为上一营业日，但上一营业日已经过的，则到期结算日变更为下一营业日。</w:t>
      </w:r>
    </w:p>
    <w:p>
      <w:pPr>
        <w:spacing w:line="590" w:lineRule="exact"/>
        <w:ind w:firstLine="643" w:firstLineChars="200"/>
        <w:rPr>
          <w:rFonts w:ascii="仿宋" w:hAnsi="仿宋" w:eastAsia="仿宋" w:cs="仿宋"/>
          <w:b/>
          <w:sz w:val="32"/>
          <w:szCs w:val="32"/>
        </w:rPr>
      </w:pPr>
    </w:p>
    <w:p>
      <w:pPr>
        <w:spacing w:line="590" w:lineRule="exact"/>
        <w:ind w:firstLine="643" w:firstLineChars="200"/>
        <w:outlineLvl w:val="2"/>
        <w:rPr>
          <w:rFonts w:ascii="仿宋" w:hAnsi="仿宋" w:eastAsia="仿宋" w:cs="仿宋"/>
          <w:b/>
          <w:bCs/>
          <w:sz w:val="32"/>
          <w:szCs w:val="32"/>
        </w:rPr>
      </w:pPr>
      <w:bookmarkStart w:id="1473" w:name="_Toc210005520"/>
      <w:bookmarkStart w:id="1474" w:name="_Toc3721"/>
      <w:bookmarkStart w:id="1475" w:name="_Toc23321"/>
      <w:bookmarkStart w:id="1476" w:name="_Toc4886"/>
      <w:bookmarkStart w:id="1477" w:name="_Toc10322"/>
      <w:bookmarkStart w:id="1478" w:name="_Toc3375"/>
      <w:bookmarkStart w:id="1479" w:name="_Toc21296"/>
      <w:bookmarkStart w:id="1480" w:name="_Toc3883"/>
      <w:bookmarkStart w:id="1481" w:name="_Toc3774"/>
      <w:bookmarkStart w:id="1482" w:name="_Toc9209"/>
      <w:bookmarkStart w:id="1483" w:name="_Toc21607"/>
      <w:bookmarkStart w:id="1484" w:name="_Toc10090"/>
      <w:bookmarkStart w:id="1485" w:name="_Toc27015"/>
      <w:bookmarkStart w:id="1486" w:name="_Toc26292"/>
      <w:bookmarkStart w:id="1487" w:name="_Toc26285"/>
      <w:bookmarkStart w:id="1488" w:name="_Toc12762"/>
      <w:bookmarkStart w:id="1489" w:name="_Toc13379"/>
      <w:r>
        <w:rPr>
          <w:rFonts w:hint="eastAsia" w:ascii="仿宋" w:hAnsi="仿宋" w:eastAsia="仿宋" w:cs="仿宋"/>
          <w:b/>
          <w:bCs/>
          <w:sz w:val="32"/>
          <w:szCs w:val="32"/>
        </w:rPr>
        <w:t>6.2.3 票据挑选</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pPr>
        <w:pStyle w:val="41"/>
        <w:widowControl/>
        <w:spacing w:line="590" w:lineRule="exact"/>
        <w:ind w:firstLine="640"/>
        <w:rPr>
          <w:rFonts w:ascii="仿宋" w:hAnsi="仿宋" w:eastAsia="仿宋" w:cs="仿宋"/>
          <w:sz w:val="32"/>
          <w:szCs w:val="32"/>
        </w:rPr>
      </w:pPr>
      <w:r>
        <w:rPr>
          <w:rFonts w:hint="eastAsia" w:ascii="仿宋" w:hAnsi="仿宋" w:eastAsia="仿宋" w:cs="仿宋"/>
          <w:sz w:val="32"/>
          <w:szCs w:val="32"/>
        </w:rPr>
        <w:t>交易员可挑选其所属业务参与者托管账户项下票据或买断式回购交易项下待赎回票据包用于交易。票据挑选时应注意以下事项：</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1.风险票据、已质押的票据、回购式贴现待赎回的票据以及处于业务流程中的票据不得被挑选用于交易。</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2.单笔报价挑选的票据张（包）数不得超过票交所设置的上限。</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3.开展质押式回购交易时，被挑选的标的票据票面总额应当不低于该笔质押式回购交易的回购金额。</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4.买断式回购交易项下形成的待赎回票据包可被用于质押式回购交易。该类票据包仅可整包交易，不可拆分或与其他票据资产组合交易，且该笔质押式回购的到期结算日应当早于该票据包原买断式回购到期结算日。</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5.附带票据清单的报价发送后，票交所对该报价下的票据予以锁定，其他交易员不得挑选该票据，但意向询价除外。</w:t>
      </w:r>
    </w:p>
    <w:p>
      <w:pPr>
        <w:spacing w:line="590" w:lineRule="exact"/>
        <w:ind w:firstLine="420" w:firstLineChars="200"/>
      </w:pPr>
    </w:p>
    <w:p>
      <w:pPr>
        <w:spacing w:line="590" w:lineRule="exact"/>
        <w:ind w:firstLine="643" w:firstLineChars="200"/>
        <w:outlineLvl w:val="2"/>
        <w:rPr>
          <w:rFonts w:ascii="仿宋" w:hAnsi="仿宋" w:eastAsia="仿宋" w:cs="仿宋"/>
          <w:b/>
          <w:bCs/>
          <w:sz w:val="32"/>
          <w:szCs w:val="32"/>
        </w:rPr>
      </w:pPr>
      <w:bookmarkStart w:id="1490" w:name="_Toc22702"/>
      <w:bookmarkStart w:id="1491" w:name="_Toc23358"/>
      <w:bookmarkStart w:id="1492" w:name="_Toc10361"/>
      <w:bookmarkStart w:id="1493" w:name="_Toc11291"/>
      <w:bookmarkStart w:id="1494" w:name="_Toc22677"/>
      <w:bookmarkStart w:id="1495" w:name="_Toc15079"/>
      <w:bookmarkStart w:id="1496" w:name="_Toc18438"/>
      <w:bookmarkStart w:id="1497" w:name="_Toc15419"/>
      <w:bookmarkStart w:id="1498" w:name="_Toc2354"/>
      <w:bookmarkStart w:id="1499" w:name="_Toc392715684"/>
      <w:bookmarkStart w:id="1500" w:name="_Toc1277"/>
      <w:bookmarkStart w:id="1501" w:name="_Toc23592"/>
      <w:bookmarkStart w:id="1502" w:name="_Toc14645"/>
      <w:bookmarkStart w:id="1503" w:name="_Toc9840"/>
      <w:bookmarkStart w:id="1504" w:name="_Toc2993"/>
      <w:bookmarkStart w:id="1505" w:name="_Toc28803"/>
      <w:bookmarkStart w:id="1506" w:name="_Toc28114"/>
      <w:r>
        <w:rPr>
          <w:rFonts w:hint="eastAsia" w:ascii="仿宋" w:hAnsi="仿宋" w:eastAsia="仿宋" w:cs="仿宋"/>
          <w:b/>
          <w:bCs/>
          <w:sz w:val="32"/>
          <w:szCs w:val="32"/>
        </w:rPr>
        <w:t>6.2.4 交易方式</w:t>
      </w:r>
      <w:bookmarkEnd w:id="1490"/>
      <w:bookmarkEnd w:id="1491"/>
      <w:bookmarkEnd w:id="1492"/>
      <w:bookmarkEnd w:id="1493"/>
      <w:bookmarkEnd w:id="1494"/>
      <w:bookmarkEnd w:id="1495"/>
      <w:bookmarkEnd w:id="1496"/>
      <w:bookmarkEnd w:id="1497"/>
      <w:bookmarkEnd w:id="1498"/>
      <w:bookmarkEnd w:id="1499"/>
      <w:bookmarkEnd w:id="1500"/>
      <w:bookmarkEnd w:id="1501"/>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业务参与者可通过询价、点击成交和匿名点击等交易方式开展票据交易。目前，转贴现支持询价、点击成交交易方式，质押式回购支持询价、匿名点击交易方式，买断式回购支持询价交易方式。</w:t>
      </w:r>
    </w:p>
    <w:p>
      <w:pPr>
        <w:spacing w:line="590" w:lineRule="exact"/>
        <w:ind w:firstLine="643" w:firstLineChars="200"/>
        <w:rPr>
          <w:rFonts w:ascii="仿宋" w:hAnsi="仿宋" w:eastAsia="仿宋" w:cs="仿宋"/>
          <w:b/>
          <w:bCs/>
          <w:sz w:val="32"/>
          <w:szCs w:val="32"/>
        </w:rPr>
      </w:pPr>
      <w:r>
        <w:rPr>
          <w:rFonts w:ascii="仿宋" w:hAnsi="仿宋" w:eastAsia="仿宋" w:cs="仿宋"/>
          <w:b/>
          <w:bCs/>
          <w:sz w:val="32"/>
          <w:szCs w:val="32"/>
        </w:rPr>
        <w:t>1.</w:t>
      </w:r>
      <w:r>
        <w:rPr>
          <w:rFonts w:hint="eastAsia" w:ascii="仿宋" w:hAnsi="仿宋" w:eastAsia="仿宋" w:cs="仿宋"/>
          <w:b/>
          <w:bCs/>
          <w:sz w:val="32"/>
          <w:szCs w:val="32"/>
        </w:rPr>
        <w:t>询价</w:t>
      </w:r>
      <w:bookmarkEnd w:id="1502"/>
      <w:bookmarkEnd w:id="1503"/>
      <w:bookmarkEnd w:id="1504"/>
      <w:bookmarkEnd w:id="1505"/>
      <w:bookmarkEnd w:id="150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询价指交易双方自行协商确定交易价格以及其他交易要素的交易方式，包括报价/询价、格式化交谈和确认成交三个步骤。</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（1）报价/询价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报价/询价方式包括意向询价和对话报价。</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①意向询价：</w:t>
      </w:r>
      <w:r>
        <w:rPr>
          <w:rFonts w:hint="eastAsia" w:ascii="仿宋" w:hAnsi="仿宋" w:eastAsia="仿宋" w:cs="仿宋"/>
          <w:sz w:val="32"/>
          <w:szCs w:val="32"/>
        </w:rPr>
        <w:t>指交易员向全市场、特定群组或单个交易员发出的，表明其交易意向的询价。意向询价不能直接成交，必须转化成对话报价后才能成交。</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②对话报价：</w:t>
      </w:r>
      <w:r>
        <w:rPr>
          <w:rFonts w:hint="eastAsia" w:ascii="仿宋" w:hAnsi="仿宋" w:eastAsia="仿宋" w:cs="仿宋"/>
          <w:sz w:val="32"/>
          <w:szCs w:val="32"/>
        </w:rPr>
        <w:t>指交易员向特定单一交易对象发出的交易要素完整、明确的报价，受价方确认即可成交。对话报价只能由卖出方或正回购方发起。对话报价一经发出，不得撤销。</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（2）格式化交谈：</w:t>
      </w:r>
      <w:r>
        <w:rPr>
          <w:rFonts w:hint="eastAsia" w:ascii="仿宋" w:hAnsi="仿宋" w:eastAsia="仿宋" w:cs="仿宋"/>
          <w:sz w:val="32"/>
          <w:szCs w:val="32"/>
        </w:rPr>
        <w:t>指交易员与对手方相互发送的一系列对话报价所组成的交易磋商行为。若其中一方确认成交或终止对话，则格式化交谈结束。</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（3）确认成交：</w:t>
      </w:r>
      <w:r>
        <w:rPr>
          <w:rFonts w:hint="eastAsia" w:ascii="仿宋" w:hAnsi="仿宋" w:eastAsia="仿宋" w:cs="仿宋"/>
          <w:sz w:val="32"/>
          <w:szCs w:val="32"/>
        </w:rPr>
        <w:t>交易员通过格式化交谈就交易要素达成一致后可以向票交所发送确认成交的请求。请求确认成交的交易符合交易规则及其他风险控制指标的，票交所予以确认成交。</w:t>
      </w:r>
    </w:p>
    <w:p>
      <w:pPr>
        <w:widowControl/>
        <w:numPr>
          <w:ilvl w:val="255"/>
          <w:numId w:val="0"/>
        </w:numPr>
        <w:spacing w:line="590" w:lineRule="exact"/>
        <w:ind w:firstLine="640" w:firstLineChars="200"/>
        <w:rPr>
          <w:rFonts w:ascii="仿宋" w:hAnsi="仿宋" w:eastAsia="仿宋" w:cs="仿宋"/>
          <w:sz w:val="32"/>
          <w:szCs w:val="32"/>
        </w:rPr>
      </w:pPr>
    </w:p>
    <w:p>
      <w:pPr>
        <w:spacing w:line="590" w:lineRule="exact"/>
        <w:ind w:firstLine="643" w:firstLineChars="200"/>
        <w:rPr>
          <w:rFonts w:ascii="仿宋" w:hAnsi="仿宋" w:eastAsia="仿宋" w:cs="仿宋"/>
          <w:b/>
          <w:bCs/>
          <w:sz w:val="32"/>
          <w:szCs w:val="32"/>
        </w:rPr>
      </w:pPr>
      <w:bookmarkStart w:id="1507" w:name="_Toc14068"/>
      <w:bookmarkStart w:id="1508" w:name="_Toc6789"/>
      <w:bookmarkStart w:id="1509" w:name="_Toc14673"/>
      <w:bookmarkStart w:id="1510" w:name="_Toc25760"/>
      <w:bookmarkStart w:id="1511" w:name="_Toc2143"/>
      <w:r>
        <w:rPr>
          <w:rFonts w:hint="eastAsia" w:ascii="仿宋" w:hAnsi="仿宋" w:eastAsia="仿宋" w:cs="仿宋"/>
          <w:b/>
          <w:bCs/>
          <w:sz w:val="32"/>
          <w:szCs w:val="32"/>
        </w:rPr>
        <w:t>2.点击成交</w:t>
      </w:r>
      <w:bookmarkEnd w:id="1507"/>
      <w:bookmarkEnd w:id="1508"/>
      <w:bookmarkEnd w:id="1509"/>
      <w:bookmarkEnd w:id="1510"/>
      <w:bookmarkEnd w:id="1511"/>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点击成交指交易员向全市场发送包含全部交易要素或除票据清单之外的全部交易要素的报价时，对手方直接点击成交或提交符合要求的票据后点击成交的交易方式。</w:t>
      </w:r>
    </w:p>
    <w:p>
      <w:pPr>
        <w:numPr>
          <w:ilvl w:val="255"/>
          <w:numId w:val="0"/>
        </w:num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（1）授信关系管理：</w:t>
      </w:r>
      <w:r>
        <w:rPr>
          <w:rFonts w:hint="eastAsia" w:ascii="仿宋" w:hAnsi="仿宋" w:eastAsia="仿宋" w:cs="仿宋"/>
          <w:sz w:val="32"/>
          <w:szCs w:val="32"/>
        </w:rPr>
        <w:t>参与者的法人机构可在票据业务系统中设置点击成交交易对手授信名单（可设置白名单或黑名单），只有交易双方均在彼此授信范围内才能进行交易。</w:t>
      </w:r>
    </w:p>
    <w:p>
      <w:pPr>
        <w:numPr>
          <w:ilvl w:val="255"/>
          <w:numId w:val="0"/>
        </w:num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（2）报价：</w:t>
      </w:r>
      <w:r>
        <w:rPr>
          <w:rFonts w:hint="eastAsia" w:ascii="仿宋" w:hAnsi="仿宋" w:eastAsia="仿宋" w:cs="仿宋"/>
          <w:sz w:val="32"/>
          <w:szCs w:val="32"/>
        </w:rPr>
        <w:t>交易双方均可以发起点击成交报价。卖出方发送报价时，应当包含所有交易要素；买入方发送报价时，应当包含除票据清单之外的所有交易要素，并注明标的票据的要求。</w:t>
      </w:r>
    </w:p>
    <w:p>
      <w:pPr>
        <w:numPr>
          <w:ilvl w:val="255"/>
          <w:numId w:val="0"/>
        </w:num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（3）成交：</w:t>
      </w:r>
      <w:r>
        <w:rPr>
          <w:rFonts w:hint="eastAsia" w:ascii="仿宋" w:hAnsi="仿宋" w:eastAsia="仿宋" w:cs="仿宋"/>
          <w:sz w:val="32"/>
          <w:szCs w:val="32"/>
        </w:rPr>
        <w:t>交易员作为买入方时，可以直接点击卖出方发送的报价进行成交。</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作为卖出方在点击买入方发送的报价时，应当在规定的时间内提交符合要求的标的票据，提交完成并经票交所校验通过后，直接成交。</w:t>
      </w:r>
    </w:p>
    <w:p>
      <w:pPr>
        <w:widowControl/>
        <w:numPr>
          <w:ilvl w:val="255"/>
          <w:numId w:val="0"/>
        </w:numPr>
        <w:spacing w:line="590" w:lineRule="exact"/>
        <w:ind w:firstLine="640" w:firstLineChars="200"/>
        <w:rPr>
          <w:rFonts w:ascii="仿宋" w:hAnsi="仿宋" w:eastAsia="仿宋" w:cs="仿宋"/>
          <w:sz w:val="32"/>
          <w:szCs w:val="32"/>
        </w:rPr>
      </w:pPr>
    </w:p>
    <w:p>
      <w:pPr>
        <w:spacing w:line="590" w:lineRule="exact"/>
        <w:ind w:firstLine="643" w:firstLineChars="200"/>
        <w:rPr>
          <w:rFonts w:ascii="仿宋" w:hAnsi="仿宋" w:eastAsia="仿宋" w:cs="仿宋"/>
          <w:b/>
          <w:bCs/>
          <w:sz w:val="32"/>
          <w:szCs w:val="32"/>
        </w:rPr>
      </w:pPr>
      <w:bookmarkStart w:id="1512" w:name="_Toc6692"/>
      <w:bookmarkStart w:id="1513" w:name="_Toc23959"/>
      <w:bookmarkStart w:id="1514" w:name="_Toc32705"/>
      <w:bookmarkStart w:id="1515" w:name="_Toc12471"/>
      <w:bookmarkStart w:id="1516" w:name="_Toc4444"/>
      <w:r>
        <w:rPr>
          <w:rFonts w:hint="eastAsia" w:ascii="仿宋" w:hAnsi="仿宋" w:eastAsia="仿宋" w:cs="仿宋"/>
          <w:b/>
          <w:bCs/>
          <w:sz w:val="32"/>
          <w:szCs w:val="32"/>
        </w:rPr>
        <w:t>3.匿名点击</w:t>
      </w:r>
      <w:bookmarkEnd w:id="1512"/>
      <w:bookmarkEnd w:id="1513"/>
      <w:bookmarkEnd w:id="1514"/>
      <w:bookmarkEnd w:id="1515"/>
      <w:bookmarkEnd w:id="151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匿名点击指交易双方提交包含关键交易要素的匿名报价，票交所在双边授信范围内按照“价格优先、时间优先”的原则自动匹配后达成交易的交易方式。</w:t>
      </w:r>
    </w:p>
    <w:p>
      <w:pPr>
        <w:numPr>
          <w:ilvl w:val="255"/>
          <w:numId w:val="0"/>
        </w:num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（1）授信额度管理：</w:t>
      </w:r>
      <w:r>
        <w:rPr>
          <w:rFonts w:hint="eastAsia" w:ascii="仿宋" w:hAnsi="仿宋" w:eastAsia="仿宋" w:cs="仿宋"/>
          <w:sz w:val="32"/>
          <w:szCs w:val="32"/>
        </w:rPr>
        <w:t>参与者的法人机构可在票据业务系统中设置交易对手的授信额度，在额度范围内的匿名点击可以成交，交易达成或回购交易到期后，票交所将自动扣减或恢复相应额度。未设置授信额度的交易对手默认额度为0。</w:t>
      </w:r>
    </w:p>
    <w:p>
      <w:pPr>
        <w:numPr>
          <w:ilvl w:val="255"/>
          <w:numId w:val="0"/>
        </w:num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（2）报价：</w:t>
      </w:r>
      <w:r>
        <w:rPr>
          <w:rFonts w:hint="eastAsia" w:ascii="仿宋" w:hAnsi="仿宋" w:eastAsia="仿宋" w:cs="仿宋"/>
          <w:sz w:val="32"/>
          <w:szCs w:val="32"/>
        </w:rPr>
        <w:t>交易双方均可以发起匿名点击报价。报价方需按要求完整填写匿名点击报价所需关键要素。</w:t>
      </w:r>
    </w:p>
    <w:p>
      <w:pPr>
        <w:numPr>
          <w:ilvl w:val="255"/>
          <w:numId w:val="0"/>
        </w:num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（3）成交：</w:t>
      </w:r>
      <w:r>
        <w:rPr>
          <w:rFonts w:hint="eastAsia" w:ascii="仿宋" w:hAnsi="仿宋" w:eastAsia="仿宋" w:cs="仿宋"/>
          <w:sz w:val="32"/>
          <w:szCs w:val="32"/>
        </w:rPr>
        <w:t>票交所在各业务参与者预先设置的双边授信范围内根据“价格优先、时间优先”的原则对所有匿名点击报价进行自动匹配。</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匹配成功后交易达成，票交所自动生成成交单（未附票据清单），正回购方应当在规定时间内提交符合要求的标的票据，提交完成并经票交所校验通过后，票交所自动更新成交单票据清单信息。</w:t>
      </w:r>
    </w:p>
    <w:p>
      <w:pPr>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未能匹配成功的报价可供其他交易员点击成交。</w:t>
      </w:r>
    </w:p>
    <w:p>
      <w:pPr>
        <w:numPr>
          <w:ilvl w:val="255"/>
          <w:numId w:val="0"/>
        </w:num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517" w:name="_Toc19449"/>
      <w:bookmarkStart w:id="1518" w:name="_Toc27992"/>
      <w:bookmarkStart w:id="1519" w:name="_Toc479353337"/>
      <w:bookmarkStart w:id="1520" w:name="_Toc24673"/>
      <w:bookmarkStart w:id="1521" w:name="_Toc18001"/>
      <w:bookmarkStart w:id="1522" w:name="_Toc29976"/>
      <w:bookmarkStart w:id="1523" w:name="_Toc30747"/>
      <w:bookmarkStart w:id="1524" w:name="_Toc8181"/>
      <w:bookmarkStart w:id="1525" w:name="_Toc3305"/>
      <w:bookmarkStart w:id="1526" w:name="_Toc15652"/>
      <w:bookmarkStart w:id="1527" w:name="_Toc21176"/>
      <w:bookmarkStart w:id="1528" w:name="_Toc20226"/>
      <w:r>
        <w:rPr>
          <w:rFonts w:ascii="仿宋" w:hAnsi="仿宋" w:eastAsia="仿宋" w:cs="仿宋"/>
          <w:b/>
          <w:bCs/>
          <w:sz w:val="32"/>
          <w:szCs w:val="32"/>
        </w:rPr>
        <w:t>6.</w:t>
      </w:r>
      <w:r>
        <w:rPr>
          <w:rFonts w:hint="eastAsia" w:ascii="仿宋" w:hAnsi="仿宋" w:eastAsia="仿宋" w:cs="仿宋"/>
          <w:b/>
          <w:bCs/>
          <w:sz w:val="32"/>
          <w:szCs w:val="32"/>
        </w:rPr>
        <w:t>2</w:t>
      </w:r>
      <w:r>
        <w:rPr>
          <w:rFonts w:ascii="仿宋" w:hAnsi="仿宋" w:eastAsia="仿宋" w:cs="仿宋"/>
          <w:b/>
          <w:bCs/>
          <w:sz w:val="32"/>
          <w:szCs w:val="32"/>
        </w:rPr>
        <w:t>.</w:t>
      </w:r>
      <w:r>
        <w:rPr>
          <w:rFonts w:hint="eastAsia" w:ascii="仿宋" w:hAnsi="仿宋" w:eastAsia="仿宋" w:cs="仿宋"/>
          <w:b/>
          <w:bCs/>
          <w:sz w:val="32"/>
          <w:szCs w:val="32"/>
        </w:rPr>
        <w:t>5</w:t>
      </w:r>
      <w:r>
        <w:rPr>
          <w:rFonts w:ascii="仿宋" w:hAnsi="仿宋" w:eastAsia="仿宋" w:cs="仿宋"/>
          <w:b/>
          <w:bCs/>
          <w:sz w:val="32"/>
          <w:szCs w:val="32"/>
        </w:rPr>
        <w:t xml:space="preserve"> </w:t>
      </w:r>
      <w:r>
        <w:rPr>
          <w:rFonts w:hint="eastAsia" w:ascii="仿宋" w:hAnsi="仿宋" w:eastAsia="仿宋" w:cs="仿宋"/>
          <w:b/>
          <w:bCs/>
          <w:sz w:val="32"/>
          <w:szCs w:val="32"/>
        </w:rPr>
        <w:t>成交单</w:t>
      </w:r>
      <w:bookmarkEnd w:id="1517"/>
      <w:bookmarkEnd w:id="1518"/>
      <w:bookmarkEnd w:id="1519"/>
      <w:bookmarkEnd w:id="1520"/>
      <w:bookmarkEnd w:id="1521"/>
      <w:bookmarkEnd w:id="1522"/>
      <w:bookmarkEnd w:id="1523"/>
      <w:bookmarkEnd w:id="1524"/>
      <w:bookmarkEnd w:id="1525"/>
      <w:bookmarkEnd w:id="1526"/>
      <w:bookmarkEnd w:id="1527"/>
      <w:bookmarkEnd w:id="1528"/>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交易达成后，票交所自动生成成交单。成交单载有交易双方就交易要素达成一致的约定和其他必要内容，并附票据清单。成交单、票据交易主协议及补充协议（若有）构成交易双方之间完整的交易合同。票据交易合同一经成立，交易双方应当认真履行，不得擅自变更或者解除合同。</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1.成交单的记载内容</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不同交易品种载有的要素不同（成交单模板详见</w:t>
      </w:r>
      <w:r>
        <w:rPr>
          <w:rFonts w:hint="eastAsia" w:ascii="仿宋" w:hAnsi="仿宋" w:eastAsia="仿宋" w:cs="仿宋"/>
          <w:sz w:val="32"/>
          <w:szCs w:val="32"/>
          <w:lang w:eastAsia="zh-CN"/>
        </w:rPr>
        <w:t>附件17</w:t>
      </w:r>
      <w:r>
        <w:rPr>
          <w:rFonts w:hint="eastAsia" w:ascii="仿宋" w:hAnsi="仿宋" w:eastAsia="仿宋" w:cs="仿宋"/>
          <w:sz w:val="32"/>
          <w:szCs w:val="32"/>
        </w:rPr>
        <w:t>）。</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（1）转贴现成交单</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成交时间、成交单编号、交易双方机构信息、交易双方交易员信息、票据类别、票据介质、票面总额、应付利息、结算金额、交易利率、加权平均剩余期限、收益率、票据张（包）数、结算日、结算方式、清算类型、最晚结算时间、交易双方账户信息。</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（2）质押式回购成交单</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成交时间、成交单编号、交易双方机构信息、交易双方交易员信息、票据类别、票据介质、票面总额、应付利息、回购金额、首期结算金额、到期结算金额、回购利率、回购期限、回购收益率、票据张（包）数、首期结算日、到期结算日、结算方式、清算类型、最晚首期结算时间、交易双方账户信息。</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（3）买断式回购成交单</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成交时间、成交单编号、交易双方机构信息、交易双方交易员信息、票据类别、票据介质、票面总额、首期应付利息、到期应付利息、首期结算金额、到期结算金额、首期交易利率、到期交易利率、回购收益率、回购期限、票据张（包）数、首期结算日、到期结算日、结算方式、清算类型、最晚首期结算时间、交易双方账户信息。</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2.成交单补充条款</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回购交易中，如交易双方办理提前回购、逾期回购等特殊场景业务，并通过票交所完成相关信息变更登记的，票交所将自动更新成交单补充条款，内容包括业务类型、事由、日期等。</w:t>
      </w:r>
    </w:p>
    <w:p>
      <w:pPr>
        <w:pStyle w:val="41"/>
        <w:numPr>
          <w:ilvl w:val="255"/>
          <w:numId w:val="0"/>
        </w:num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3.成交查询和打印</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业务参与者可在票交所客户端交易模块根据交易品种、日期等条件筛选查询成交明细，并支持成交明细导出和批量打印成交单的功能。</w:t>
      </w:r>
    </w:p>
    <w:p>
      <w:pPr>
        <w:pStyle w:val="41"/>
        <w:numPr>
          <w:ilvl w:val="255"/>
          <w:numId w:val="0"/>
        </w:num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529" w:name="_Toc1779636218"/>
      <w:bookmarkStart w:id="1530" w:name="_Toc28328"/>
      <w:bookmarkStart w:id="1531" w:name="_Toc7086"/>
      <w:bookmarkStart w:id="1532" w:name="_Toc26800"/>
      <w:bookmarkStart w:id="1533" w:name="_Toc23426"/>
      <w:bookmarkStart w:id="1534" w:name="_Toc17453"/>
      <w:bookmarkStart w:id="1535" w:name="_Toc19714"/>
      <w:bookmarkStart w:id="1536" w:name="_Toc2147"/>
      <w:bookmarkStart w:id="1537" w:name="_Toc21614"/>
      <w:bookmarkStart w:id="1538" w:name="_Toc17587"/>
      <w:bookmarkStart w:id="1539" w:name="_Toc107"/>
      <w:bookmarkStart w:id="1540" w:name="_Toc18802"/>
      <w:r>
        <w:rPr>
          <w:rFonts w:hint="eastAsia" w:ascii="仿宋" w:hAnsi="仿宋" w:eastAsia="仿宋" w:cs="仿宋"/>
          <w:b/>
          <w:bCs/>
          <w:sz w:val="32"/>
          <w:szCs w:val="32"/>
        </w:rPr>
        <w:t>6.2.6 交易辅助</w:t>
      </w:r>
      <w:bookmarkEnd w:id="1529"/>
      <w:bookmarkEnd w:id="1530"/>
      <w:bookmarkEnd w:id="1531"/>
      <w:bookmarkEnd w:id="1532"/>
      <w:bookmarkEnd w:id="1533"/>
      <w:bookmarkEnd w:id="1534"/>
      <w:bookmarkEnd w:id="1535"/>
      <w:bookmarkEnd w:id="1536"/>
      <w:bookmarkEnd w:id="1537"/>
      <w:bookmarkEnd w:id="1538"/>
      <w:bookmarkEnd w:id="1539"/>
      <w:bookmarkEnd w:id="1540"/>
    </w:p>
    <w:p>
      <w:pPr>
        <w:pStyle w:val="41"/>
        <w:numPr>
          <w:ilvl w:val="255"/>
          <w:numId w:val="0"/>
        </w:num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1.交易限额管理</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业务参与者可在票交所客户端的票据交易模块设置单个交易员不同交易品种、交易方式的单笔交易限额。</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设置成功后，该交易员开展交易时，交易金额不得超过设置的单笔交易限额。</w:t>
      </w:r>
    </w:p>
    <w:p>
      <w:pPr>
        <w:pStyle w:val="41"/>
        <w:numPr>
          <w:ilvl w:val="255"/>
          <w:numId w:val="0"/>
        </w:numPr>
        <w:spacing w:line="560" w:lineRule="exact"/>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2.交易确认</w:t>
      </w:r>
    </w:p>
    <w:p>
      <w:pPr>
        <w:pStyle w:val="41"/>
        <w:numPr>
          <w:ilvl w:val="255"/>
          <w:numId w:val="0"/>
        </w:numPr>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采用票交所客户端进行交易的业务参与者，可在机构管理模块设置是否开通交易确认功能。</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对于开通交易确认功能的机构，该机构交易员在交易报价发起、应答同意（包括对话报价或点击成交应答同意，以及点击成交或匿名点击提交票据等场景）时，需同一机构另一用户确认后才能成功发送相应指令。</w:t>
      </w:r>
    </w:p>
    <w:p>
      <w:pPr>
        <w:pStyle w:val="41"/>
        <w:numPr>
          <w:ilvl w:val="255"/>
          <w:numId w:val="0"/>
        </w:numPr>
        <w:spacing w:line="590" w:lineRule="exact"/>
        <w:ind w:firstLine="643" w:firstLineChars="200"/>
        <w:rPr>
          <w:rFonts w:ascii="仿宋" w:hAnsi="仿宋" w:eastAsia="仿宋" w:cs="仿宋"/>
          <w:b/>
          <w:bCs/>
          <w:sz w:val="32"/>
          <w:szCs w:val="32"/>
        </w:rPr>
      </w:pPr>
      <w:r>
        <w:rPr>
          <w:rFonts w:ascii="仿宋" w:hAnsi="仿宋" w:eastAsia="仿宋" w:cs="仿宋"/>
          <w:b/>
          <w:bCs/>
          <w:sz w:val="32"/>
          <w:szCs w:val="32"/>
        </w:rPr>
        <w:t>3.</w:t>
      </w:r>
      <w:r>
        <w:rPr>
          <w:rFonts w:hint="eastAsia" w:ascii="仿宋" w:hAnsi="仿宋" w:eastAsia="仿宋" w:cs="仿宋"/>
          <w:b/>
          <w:bCs/>
          <w:sz w:val="32"/>
          <w:szCs w:val="32"/>
        </w:rPr>
        <w:t>结算确认</w:t>
      </w:r>
    </w:p>
    <w:p>
      <w:pPr>
        <w:pStyle w:val="41"/>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采用票交所客户端进行交易的业务参与者，可</w:t>
      </w:r>
      <w:r>
        <w:rPr>
          <w:rFonts w:hint="eastAsia" w:ascii="仿宋" w:hAnsi="仿宋" w:eastAsia="仿宋" w:cs="仿宋"/>
          <w:sz w:val="32"/>
          <w:szCs w:val="32"/>
        </w:rPr>
        <w:t>在机构管理模块设置是否</w:t>
      </w:r>
      <w:r>
        <w:rPr>
          <w:rFonts w:hint="eastAsia" w:ascii="仿宋" w:hAnsi="仿宋" w:eastAsia="仿宋" w:cs="仿宋"/>
          <w:sz w:val="32"/>
          <w:szCs w:val="32"/>
          <w:lang w:bidi="ar"/>
        </w:rPr>
        <w:t>开通结算确认功能。</w:t>
      </w:r>
    </w:p>
    <w:p>
      <w:pPr>
        <w:pStyle w:val="41"/>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对于开通结算确认功能的业务参与者，在转贴现和回购首期交易达成后，应进行结算确认。</w:t>
      </w:r>
    </w:p>
    <w:p>
      <w:pPr>
        <w:pStyle w:val="41"/>
        <w:numPr>
          <w:ilvl w:val="255"/>
          <w:numId w:val="0"/>
        </w:num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4.行情展示</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业务参与者可在票交所客户端的票据交易模块查看当前不同交易品种的市场行情。</w:t>
      </w:r>
    </w:p>
    <w:p>
      <w:pPr>
        <w:pStyle w:val="41"/>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行情展示仅包括已达成的交易（即为成交行情），并按照票据种类、票据介质、加权平均剩余期限/回购期限划分品种。</w:t>
      </w:r>
    </w:p>
    <w:p>
      <w:pPr>
        <w:pStyle w:val="41"/>
        <w:spacing w:line="590" w:lineRule="exact"/>
        <w:ind w:firstLine="640"/>
        <w:rPr>
          <w:rFonts w:ascii="仿宋" w:hAnsi="仿宋" w:eastAsia="仿宋" w:cs="仿宋"/>
          <w:sz w:val="32"/>
          <w:szCs w:val="32"/>
        </w:rPr>
      </w:pPr>
      <w:r>
        <w:rPr>
          <w:rFonts w:hint="eastAsia" w:ascii="仿宋" w:hAnsi="仿宋" w:eastAsia="仿宋" w:cs="仿宋"/>
          <w:sz w:val="32"/>
          <w:szCs w:val="32"/>
        </w:rPr>
        <w:t>所有成交行情均不包括同一法人分支机构之间达成的交易。</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sz w:val="32"/>
          <w:szCs w:val="32"/>
        </w:rPr>
      </w:pPr>
      <w:bookmarkStart w:id="1541" w:name="_Toc16162"/>
      <w:bookmarkStart w:id="1542" w:name="_Toc11284"/>
      <w:bookmarkStart w:id="1543" w:name="_Toc15470"/>
      <w:bookmarkStart w:id="1544" w:name="_Toc21363"/>
      <w:bookmarkStart w:id="1545" w:name="_Toc31577"/>
      <w:bookmarkStart w:id="1546" w:name="_Toc31064"/>
      <w:bookmarkStart w:id="1547" w:name="_Toc11941"/>
      <w:bookmarkStart w:id="1548" w:name="_Toc32101"/>
      <w:bookmarkStart w:id="1549" w:name="_Toc3690"/>
      <w:bookmarkStart w:id="1550" w:name="_Toc14043"/>
      <w:bookmarkStart w:id="1551" w:name="_Toc1596194169"/>
      <w:bookmarkStart w:id="1552" w:name="_Toc5058"/>
      <w:bookmarkStart w:id="1553" w:name="_Toc5526"/>
      <w:bookmarkStart w:id="1554" w:name="_Toc967"/>
      <w:bookmarkStart w:id="1555" w:name="_Toc7936"/>
      <w:bookmarkStart w:id="1556" w:name="_Toc12466"/>
      <w:bookmarkStart w:id="1557" w:name="_Toc27311"/>
      <w:r>
        <w:rPr>
          <w:rFonts w:hint="eastAsia" w:ascii="仿宋" w:hAnsi="仿宋" w:eastAsia="仿宋" w:cs="仿宋"/>
          <w:b/>
          <w:sz w:val="32"/>
          <w:szCs w:val="32"/>
        </w:rPr>
        <w:t xml:space="preserve">6.3 </w:t>
      </w:r>
      <w:bookmarkEnd w:id="1541"/>
      <w:bookmarkEnd w:id="1542"/>
      <w:bookmarkEnd w:id="1543"/>
      <w:bookmarkEnd w:id="1544"/>
      <w:bookmarkEnd w:id="1545"/>
      <w:bookmarkStart w:id="1558" w:name="_Toc24984"/>
      <w:bookmarkStart w:id="1559" w:name="_Toc29824"/>
      <w:bookmarkStart w:id="1560" w:name="_Toc14587"/>
      <w:bookmarkStart w:id="1561" w:name="_Toc20131"/>
      <w:bookmarkStart w:id="1562" w:name="_Toc26146"/>
      <w:r>
        <w:rPr>
          <w:rFonts w:hint="eastAsia" w:ascii="仿宋" w:hAnsi="仿宋" w:eastAsia="仿宋" w:cs="仿宋"/>
          <w:b/>
          <w:sz w:val="32"/>
          <w:szCs w:val="32"/>
        </w:rPr>
        <w:t>交易后处理</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pPr>
        <w:numPr>
          <w:ilvl w:val="255"/>
          <w:numId w:val="0"/>
        </w:numPr>
        <w:spacing w:line="590" w:lineRule="exact"/>
        <w:ind w:firstLine="643" w:firstLineChars="200"/>
        <w:outlineLvl w:val="2"/>
        <w:rPr>
          <w:rFonts w:ascii="仿宋" w:hAnsi="仿宋" w:eastAsia="仿宋" w:cs="仿宋"/>
          <w:b/>
          <w:bCs/>
          <w:sz w:val="32"/>
          <w:szCs w:val="32"/>
        </w:rPr>
      </w:pPr>
      <w:bookmarkStart w:id="1563" w:name="_Toc537"/>
      <w:bookmarkStart w:id="1564" w:name="_Toc4425"/>
      <w:bookmarkStart w:id="1565" w:name="_Toc830677762"/>
      <w:bookmarkStart w:id="1566" w:name="_Toc18287"/>
      <w:bookmarkStart w:id="1567" w:name="_Toc11890"/>
      <w:bookmarkStart w:id="1568" w:name="_Toc15553"/>
      <w:bookmarkStart w:id="1569" w:name="_Toc25191"/>
      <w:bookmarkStart w:id="1570" w:name="_Toc24099"/>
      <w:bookmarkStart w:id="1571" w:name="_Toc23881"/>
      <w:bookmarkStart w:id="1572" w:name="_Toc17092"/>
      <w:bookmarkStart w:id="1573" w:name="_Toc22821"/>
      <w:bookmarkStart w:id="1574" w:name="_Toc27023"/>
      <w:r>
        <w:rPr>
          <w:rFonts w:hint="eastAsia" w:ascii="仿宋" w:hAnsi="仿宋" w:eastAsia="仿宋" w:cs="仿宋"/>
          <w:b/>
          <w:bCs/>
          <w:sz w:val="32"/>
          <w:szCs w:val="32"/>
        </w:rPr>
        <w:t>6.3.1 交易的结算</w:t>
      </w:r>
      <w:bookmarkEnd w:id="1563"/>
      <w:bookmarkEnd w:id="1564"/>
      <w:bookmarkEnd w:id="1565"/>
      <w:bookmarkEnd w:id="1566"/>
      <w:bookmarkEnd w:id="1567"/>
      <w:bookmarkEnd w:id="1568"/>
      <w:bookmarkEnd w:id="1569"/>
      <w:bookmarkEnd w:id="1570"/>
      <w:bookmarkEnd w:id="1571"/>
      <w:bookmarkEnd w:id="1572"/>
      <w:bookmarkEnd w:id="1573"/>
      <w:bookmarkEnd w:id="1574"/>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交易达成后，票交所依据成交单为交易双方</w:t>
      </w:r>
      <w:r>
        <w:rPr>
          <w:rFonts w:hint="eastAsia" w:ascii="仿宋" w:hAnsi="仿宋" w:eastAsia="仿宋" w:cs="仿宋"/>
          <w:sz w:val="32"/>
          <w:szCs w:val="32"/>
        </w:rPr>
        <w:t>办理清算结算。票交所支持票款对付（DVP）和纯票过户（FOP）两种结算方式（详见本指南第“8.1 资金清算结算”章节）。</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2.业务参与者开展票据交易应当采用票款对付，同一法人分支机构间的票据交易可以采用纯票过户。</w:t>
      </w:r>
    </w:p>
    <w:p>
      <w:pPr>
        <w:spacing w:line="590" w:lineRule="exact"/>
        <w:ind w:firstLine="640" w:firstLineChars="200"/>
        <w:rPr>
          <w:rFonts w:ascii="仿宋" w:hAnsi="仿宋" w:eastAsia="仿宋" w:cs="仿宋"/>
          <w:sz w:val="32"/>
          <w:szCs w:val="32"/>
        </w:rPr>
      </w:pPr>
    </w:p>
    <w:p>
      <w:pPr>
        <w:numPr>
          <w:ilvl w:val="255"/>
          <w:numId w:val="0"/>
        </w:numPr>
        <w:spacing w:line="590" w:lineRule="exact"/>
        <w:ind w:firstLine="643" w:firstLineChars="200"/>
        <w:outlineLvl w:val="2"/>
        <w:rPr>
          <w:rFonts w:ascii="仿宋" w:hAnsi="仿宋" w:eastAsia="仿宋" w:cs="仿宋"/>
          <w:b/>
          <w:bCs/>
          <w:sz w:val="32"/>
          <w:szCs w:val="32"/>
        </w:rPr>
      </w:pPr>
      <w:bookmarkStart w:id="1575" w:name="_Toc16713"/>
      <w:bookmarkStart w:id="1576" w:name="_Toc17446"/>
      <w:bookmarkStart w:id="1577" w:name="_Toc22033"/>
      <w:bookmarkStart w:id="1578" w:name="_Toc696068043"/>
      <w:bookmarkStart w:id="1579" w:name="_Toc2787"/>
      <w:bookmarkStart w:id="1580" w:name="_Toc7824"/>
      <w:bookmarkStart w:id="1581" w:name="_Toc26193"/>
      <w:bookmarkStart w:id="1582" w:name="_Toc10005"/>
      <w:bookmarkStart w:id="1583" w:name="_Toc18794"/>
      <w:bookmarkStart w:id="1584" w:name="_Toc29627"/>
      <w:bookmarkStart w:id="1585" w:name="_Toc15879"/>
      <w:bookmarkStart w:id="1586" w:name="_Toc14702"/>
      <w:r>
        <w:rPr>
          <w:rFonts w:hint="eastAsia" w:ascii="仿宋" w:hAnsi="仿宋" w:eastAsia="仿宋" w:cs="仿宋"/>
          <w:b/>
          <w:bCs/>
          <w:sz w:val="32"/>
          <w:szCs w:val="32"/>
        </w:rPr>
        <w:t>6.3.2 回购特殊场景处理</w:t>
      </w:r>
      <w:bookmarkEnd w:id="1575"/>
      <w:bookmarkEnd w:id="1576"/>
      <w:bookmarkEnd w:id="1577"/>
      <w:bookmarkEnd w:id="1578"/>
      <w:bookmarkEnd w:id="1579"/>
      <w:bookmarkEnd w:id="1580"/>
      <w:bookmarkEnd w:id="1581"/>
      <w:bookmarkEnd w:id="1582"/>
      <w:bookmarkEnd w:id="1583"/>
      <w:bookmarkEnd w:id="1584"/>
      <w:bookmarkEnd w:id="1585"/>
      <w:bookmarkEnd w:id="1586"/>
    </w:p>
    <w:p>
      <w:pPr>
        <w:numPr>
          <w:ilvl w:val="0"/>
          <w:numId w:val="27"/>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质押式回购特殊场景</w:t>
      </w:r>
    </w:p>
    <w:p>
      <w:pPr>
        <w:numPr>
          <w:ilvl w:val="255"/>
          <w:numId w:val="0"/>
        </w:num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（1）质押式回购提前回购。质押式回购期间，符合票交所业务规则规定的相关条件的，业务参与者可通过票交所办理提前回购。</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（2）质押式回购逾期处理。正回购方在到期结算日未按照约定向逆回购方回购相关票据的，业务参与者可以通过票交所办理逾期回购。</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（质押式回购特殊场景处理流程详见本指南第“6.4质押式回购特殊场景处理”章节）</w:t>
      </w:r>
    </w:p>
    <w:p>
      <w:pPr>
        <w:numPr>
          <w:ilvl w:val="0"/>
          <w:numId w:val="27"/>
        </w:num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买断式回购逾期处理</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rPr>
        <w:t>正回购方在到期结算日未按约定向逆回购方回购相关票据的，逆回购方可自行处置该回购票据。</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sz w:val="32"/>
          <w:szCs w:val="32"/>
        </w:rPr>
      </w:pPr>
      <w:bookmarkStart w:id="1587" w:name="_Toc1336470272"/>
      <w:bookmarkStart w:id="1588" w:name="_Toc10398"/>
      <w:bookmarkStart w:id="1589" w:name="_Toc27794"/>
      <w:bookmarkStart w:id="1590" w:name="_Toc4512"/>
      <w:bookmarkStart w:id="1591" w:name="_Toc1784"/>
      <w:bookmarkStart w:id="1592" w:name="_Toc25478"/>
      <w:bookmarkStart w:id="1593" w:name="_Toc22187"/>
      <w:bookmarkStart w:id="1594" w:name="_Toc6164"/>
      <w:bookmarkStart w:id="1595" w:name="_Toc17328"/>
      <w:bookmarkStart w:id="1596" w:name="_Toc18419"/>
      <w:bookmarkStart w:id="1597" w:name="_Toc26836"/>
      <w:bookmarkStart w:id="1598" w:name="_Toc15497"/>
      <w:r>
        <w:rPr>
          <w:rFonts w:hint="eastAsia" w:ascii="仿宋" w:hAnsi="仿宋" w:eastAsia="仿宋" w:cs="仿宋"/>
          <w:b/>
          <w:sz w:val="32"/>
        </w:rPr>
        <w:t>6.4 质押式回购特殊场景处理</w:t>
      </w:r>
      <w:bookmarkEnd w:id="1587"/>
      <w:bookmarkEnd w:id="1588"/>
      <w:bookmarkEnd w:id="1589"/>
      <w:bookmarkEnd w:id="1590"/>
      <w:bookmarkEnd w:id="1591"/>
      <w:bookmarkEnd w:id="1592"/>
      <w:bookmarkEnd w:id="1593"/>
      <w:bookmarkEnd w:id="1594"/>
      <w:bookmarkEnd w:id="1595"/>
      <w:bookmarkEnd w:id="1596"/>
      <w:bookmarkEnd w:id="1597"/>
      <w:bookmarkEnd w:id="1598"/>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质押式回购特殊场景包括提前回购、逾期回购等，质押式回购交易双方应当通过票交所办理质押式回购提前回购和逾期回购。</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提前回购是指质押式回购交易双方在回购到期结算日前完成票据回购的行为，由正回购方按约定金额向逆回购方返还资金、逆回购方向正回购返还原质押票据。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逾期回购是指质押式回购交易双方在回购到期结算日后完成票据回购的行为。质押式回购交易到期结算失败的，自次日起，经交易双方协商一致，可通过票交所办理逾期回购。</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1.下列情形（情形1由正回购方确认后完成；其余情形依次由正回购方确认、票交所场务审核通过后完成），逆回购方可以申请提前回购：</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（1）质押票据存在挂失止付、公示催告或者被有权机关查封、冻结等票据权利受限制的情形，并已在票交所登记相应止付信息（纸票）或冻结信息（电票）；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（2）交易一方存在机构合并、分立或者解散的情形，并已向票交所申请机构撤并；</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（3）承兑人存在破产清算、公司解散或者被责令终止业务活动等已明确会严重影响票据到期兑付，且逆回购方已向票交所提供有关法律文书或者证明材料；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（4）票交所认可的其他情形。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2.质押式回购交易到期结算失败，从次日起，逆回购方可申请逾期回购。</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3.申请提前回购或逾期回购时，应当一次性回购全部未到期质押票据。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4.提前回购和逾期回购所涉资金结算由交易双方协商并线下完成。</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1.质押式回购交易的逆回购方选定回购交易批次，发起提前或逾期回购申请。需要提供业务要素包括：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（1）交易双方信息；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（2）所涉成交单信息；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（3）回购类别与回购事由。</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2.票交所向正回购方转发提前回购或逾期回购申请。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3.正回购方对提前回购或回逾期回购申请进行应答，向票交所发送应答结果（同意或拒绝）。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4.正回购方应答为同意的，票交所对质押票据进行票据变更登记，业务处理完成。</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正回购方应答为拒绝的，业务处理终结。</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5.赎回类别为“提前回购”且赎回事由为“其他情形”的，需由票交所场务审核（通过或不通过）。</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正回购方应答为同意且票交所场务审核通过的，票交所对质押票据进行票据变更登记，业务处理完成。</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票交所场务审核不通过的，业务处理终结。</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6.对于回购事由为“存在风险票据”的提前回购，回购过程中如果相关风险票据均解除止付信息或冻结信息登记，票交所自动终结业务处理。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7.逆回购方在正回购方应答操作前，可以主动撤销提前回购或逾期回购申请。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8.提前回购或逾期回购申请当日日终，正回购方未应答的，票交所自动清退待应答的提前回购或逾期回购申请，并通知正回购方和逆回购方。</w:t>
      </w:r>
    </w:p>
    <w:p>
      <w:pPr>
        <w:spacing w:line="590" w:lineRule="exact"/>
        <w:ind w:firstLine="420" w:firstLineChars="200"/>
      </w:pPr>
    </w:p>
    <w:p>
      <w:pPr>
        <w:spacing w:line="590" w:lineRule="exact"/>
        <w:ind w:firstLine="643" w:firstLineChars="200"/>
        <w:outlineLvl w:val="1"/>
        <w:rPr>
          <w:rFonts w:ascii="仿宋" w:hAnsi="仿宋" w:eastAsia="仿宋" w:cs="仿宋"/>
          <w:b/>
          <w:bCs/>
          <w:sz w:val="32"/>
          <w:szCs w:val="32"/>
        </w:rPr>
      </w:pPr>
      <w:bookmarkStart w:id="1599" w:name="_Toc12610"/>
      <w:bookmarkStart w:id="1600" w:name="_Toc16932"/>
      <w:bookmarkStart w:id="1601" w:name="_Toc23699"/>
      <w:bookmarkStart w:id="1602" w:name="_Toc5299"/>
      <w:bookmarkStart w:id="1603" w:name="_Toc27712"/>
      <w:bookmarkStart w:id="1604" w:name="_Toc12458"/>
      <w:bookmarkStart w:id="1605" w:name="_Toc24473"/>
      <w:bookmarkStart w:id="1606" w:name="_Toc8736"/>
      <w:bookmarkStart w:id="1607" w:name="_Toc28856"/>
      <w:bookmarkStart w:id="1608" w:name="_Toc19846"/>
      <w:bookmarkStart w:id="1609" w:name="_Toc6956"/>
      <w:bookmarkStart w:id="1610" w:name="_Toc31980"/>
      <w:bookmarkStart w:id="1611" w:name="_Toc186"/>
      <w:bookmarkStart w:id="1612" w:name="_Toc29991"/>
      <w:bookmarkStart w:id="1613" w:name="_Toc15735"/>
      <w:bookmarkStart w:id="1614" w:name="_Toc1596420858"/>
      <w:bookmarkStart w:id="1615" w:name="_Toc9906"/>
      <w:r>
        <w:rPr>
          <w:rFonts w:hint="eastAsia" w:ascii="仿宋" w:hAnsi="仿宋" w:eastAsia="仿宋" w:cs="仿宋"/>
          <w:b/>
          <w:sz w:val="32"/>
          <w:szCs w:val="32"/>
        </w:rPr>
        <w:t>6.5 再贴现</w:t>
      </w:r>
      <w:bookmarkEnd w:id="1599"/>
      <w:bookmarkEnd w:id="1600"/>
      <w:bookmarkEnd w:id="1601"/>
      <w:r>
        <w:rPr>
          <w:rFonts w:hint="eastAsia" w:ascii="仿宋" w:hAnsi="仿宋" w:eastAsia="仿宋" w:cs="仿宋"/>
          <w:b/>
          <w:sz w:val="32"/>
          <w:szCs w:val="32"/>
        </w:rPr>
        <w:t>（质押式回购）</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再贴现质押式回购是指再贴现申请人将票据出质给人民银行融入资金的同时，双方约定在未来某一日期由再贴现申请人按约定金额向人民银行返还资金、人民银行向再贴现申请人返还原出质票据的行为。</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目前，再贴现均采用质押式回购方式办理。</w:t>
      </w:r>
    </w:p>
    <w:p>
      <w:pPr>
        <w:widowControl/>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1616" w:name="_Toc16086"/>
      <w:bookmarkStart w:id="1617" w:name="_Toc312"/>
      <w:bookmarkStart w:id="1618" w:name="_Toc14135"/>
      <w:bookmarkStart w:id="1619" w:name="_Toc6118"/>
      <w:bookmarkStart w:id="1620" w:name="_Toc11245"/>
      <w:bookmarkStart w:id="1621" w:name="_Toc19913"/>
      <w:bookmarkStart w:id="1622" w:name="_Toc1353"/>
      <w:bookmarkStart w:id="1623" w:name="_Toc30940"/>
      <w:bookmarkStart w:id="1624" w:name="_Toc1451"/>
      <w:bookmarkStart w:id="1625" w:name="_Toc4618"/>
      <w:bookmarkStart w:id="1626" w:name="_Toc28336"/>
      <w:bookmarkStart w:id="1627" w:name="_Toc16880"/>
      <w:bookmarkStart w:id="1628" w:name="_Toc16335"/>
      <w:bookmarkStart w:id="1629" w:name="_Toc1189"/>
      <w:bookmarkStart w:id="1630" w:name="_Toc318666115"/>
      <w:bookmarkStart w:id="1631" w:name="_Toc8678"/>
      <w:r>
        <w:rPr>
          <w:rFonts w:hint="eastAsia" w:ascii="仿宋" w:hAnsi="仿宋" w:eastAsia="仿宋" w:cs="仿宋"/>
          <w:b/>
          <w:bCs/>
          <w:sz w:val="32"/>
          <w:szCs w:val="32"/>
        </w:rPr>
        <w:t>6.5.1 业务规则</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1.可以办理再贴现质押式回购业务的市场主体包括：</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（1）银行业金融机构。包括政策性银行、商业银行及其授权的分支机构、农村信用社、村镇银行。</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（2）非银行金融机构。主要指企业集团财务公司。</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（3）中国人民银行确定的其他业务参与者。</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2.符合条件的金融机构需向人民银行再贴现窗口申请建立业务对应关系。</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3.建立对应关系后，人民银行再贴现窗口需对申请人进行授信，授信分为余额授信和发生额授信两种类型。</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4.人民银行进行系统业务参数设置。</w:t>
      </w:r>
      <w:r>
        <w:rPr>
          <w:rFonts w:hint="eastAsia" w:ascii="仿宋" w:hAnsi="仿宋" w:eastAsia="仿宋" w:cs="仿宋"/>
          <w:bCs/>
          <w:sz w:val="32"/>
          <w:szCs w:val="32"/>
        </w:rPr>
        <w:t>系统业务参数分为全辖参数与专业参数。全辖参数由人民银行总行确定、设置和维护，也可确定后委托票交所设置和维护。专业参数由人行各分支机构确定、设置和维护。</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5.办理再贴现业务前，票据必须已贴现，并已进行再贴现信息补充登记。</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6.再贴现质押式回购的回购金额等于质押票据的票面总额。</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7.再贴现质押式回购最短期限为1天，最长期限为半年。</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8.系统中每笔再贴现业务提交票据张数有上限要求，目前为不超过200张。</w:t>
      </w:r>
    </w:p>
    <w:p>
      <w:pPr>
        <w:spacing w:line="590" w:lineRule="exact"/>
        <w:ind w:firstLine="643" w:firstLineChars="200"/>
        <w:outlineLvl w:val="2"/>
        <w:rPr>
          <w:rFonts w:ascii="仿宋" w:hAnsi="仿宋" w:eastAsia="仿宋" w:cs="仿宋"/>
          <w:b/>
          <w:sz w:val="32"/>
          <w:szCs w:val="32"/>
        </w:rPr>
      </w:pPr>
      <w:bookmarkStart w:id="1632" w:name="_Toc15641"/>
      <w:bookmarkStart w:id="1633" w:name="_Toc28479"/>
      <w:bookmarkStart w:id="1634" w:name="_Toc32537"/>
      <w:bookmarkStart w:id="1635" w:name="_Toc19464"/>
      <w:bookmarkStart w:id="1636" w:name="_Toc24441"/>
      <w:bookmarkStart w:id="1637" w:name="_Toc29215"/>
      <w:bookmarkStart w:id="1638" w:name="_Toc31270"/>
      <w:bookmarkStart w:id="1639" w:name="_Toc17663"/>
      <w:bookmarkStart w:id="1640" w:name="_Toc25330"/>
      <w:bookmarkStart w:id="1641" w:name="_Toc31408"/>
      <w:bookmarkStart w:id="1642" w:name="_Toc5676"/>
      <w:bookmarkStart w:id="1643" w:name="_Toc11035"/>
      <w:bookmarkStart w:id="1644" w:name="_Toc2058679228"/>
      <w:bookmarkStart w:id="1645" w:name="_Toc26568"/>
      <w:bookmarkStart w:id="1646" w:name="_Toc17359"/>
      <w:bookmarkStart w:id="1647" w:name="_Toc27880"/>
      <w:bookmarkStart w:id="1648" w:name="_Toc12388"/>
      <w:r>
        <w:rPr>
          <w:rFonts w:hint="eastAsia" w:ascii="仿宋" w:hAnsi="仿宋" w:eastAsia="仿宋" w:cs="仿宋"/>
          <w:b/>
          <w:bCs/>
          <w:sz w:val="32"/>
          <w:szCs w:val="32"/>
        </w:rPr>
        <w:t xml:space="preserve">6.5.2 </w:t>
      </w:r>
      <w:r>
        <w:rPr>
          <w:rFonts w:hint="eastAsia" w:ascii="仿宋" w:hAnsi="仿宋" w:eastAsia="仿宋" w:cs="仿宋"/>
          <w:b/>
          <w:sz w:val="32"/>
          <w:szCs w:val="32"/>
        </w:rPr>
        <w:t>再贴现首期</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再贴现首期业务是指在发放日，金融机构通过票据业务系统发起申请，与人行分支机构达成协议（以人行分支机构审批为准）后，通过票据业务系统向人行自动质押足额合格票据，人行发放资金。除异常情况外，本业务采用票款对付结算，即金融机构向人民银行成功申请再贴现业务后，票据与资金同步交割、互为条件的结算方式（以下简称DVP）。应急情况下，可采用纯票过户结算，即在结算日办理票据交割过户时，无需通知其资金结算情况的结算方式（以下简称FOP）。</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金融机构在发送业务申请前应通过客户端正确维护其在当地人行分支机构的中央银行会计核算数据集中系统（以下简称ACS）存款账户信息，存款账户信息维护具体操作详见《票据业务系统用户操作手册（再贴现分册）》。</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2.人行分支机构在系统中收到业务申请后，经过受理、复核、审批，达成再贴现首期交易，生成再贴现成交单并锁定再贴现票据。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3.系统向ACS发送放款通知。ACS收到放款通知后进行校验，校验正确的，发放款项和记账，向系统返回成功记账回执。</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4.系统收到ACS成功记账回执后自动完成票据质押并生成结算交割单，同时向直连接入系统的金融机构发送再贴现首期结算结果通知。人行分支机构和金融机构可以通过客户端查询结算交割单。</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1649" w:name="_Toc31910"/>
      <w:bookmarkStart w:id="1650" w:name="_Toc14877"/>
      <w:bookmarkStart w:id="1651" w:name="_Toc18247"/>
      <w:bookmarkStart w:id="1652" w:name="_Toc25298"/>
      <w:bookmarkStart w:id="1653" w:name="_Toc14187"/>
      <w:bookmarkStart w:id="1654" w:name="_Toc6052"/>
      <w:bookmarkStart w:id="1655" w:name="_Toc1170663093"/>
      <w:bookmarkStart w:id="1656" w:name="_Toc4482"/>
      <w:bookmarkStart w:id="1657" w:name="_Toc15257"/>
      <w:bookmarkStart w:id="1658" w:name="_Toc9675"/>
      <w:bookmarkStart w:id="1659" w:name="_Toc21642"/>
      <w:bookmarkStart w:id="1660" w:name="_Toc30916"/>
      <w:bookmarkStart w:id="1661" w:name="_Toc12582"/>
      <w:bookmarkStart w:id="1662" w:name="_Toc32171"/>
      <w:bookmarkStart w:id="1663" w:name="_Toc16302"/>
      <w:bookmarkStart w:id="1664" w:name="_Toc10749"/>
      <w:bookmarkStart w:id="1665" w:name="_Toc5994"/>
      <w:r>
        <w:rPr>
          <w:rFonts w:hint="eastAsia" w:ascii="仿宋" w:hAnsi="仿宋" w:eastAsia="仿宋" w:cs="仿宋"/>
          <w:b/>
          <w:sz w:val="32"/>
          <w:szCs w:val="32"/>
        </w:rPr>
        <w:t>6.5.3 再贴现到期</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再贴现到期业务是指在还款日，金融机构归还资金，票据业务系统自动解押票据。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1.（无论首期是DVP还是FOP）到期当日，系统于9:15分自动向ACS发送到期还款申请。ACS收到到期还款申请后进行检验，校验正确的，进行扣款和记账，向系统返回成功记账回执。</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2.系统收到ACS成功记账回执后自动解除票据质押并生成结算交割单，同时向直连接入系统的金融机构发送再贴现到期结算结果通知。人行分支机构和金融机构可以通过客户端查询结算交割单。</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到期当日扣款时，如金融机构ACS存款账户资金不足额，系统将在16:30再次向ACS发送到期还款申请，如仍余额不足，则视为DVP结算失败。DVP结算失败后，申请人只能进行线下还款，人行分支机构收到足额还款后手动解除票据质押。</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1666" w:name="_Toc17512"/>
      <w:bookmarkStart w:id="1667" w:name="_Toc1122625872"/>
      <w:bookmarkStart w:id="1668" w:name="_Toc2657"/>
      <w:bookmarkStart w:id="1669" w:name="_Toc2771"/>
      <w:bookmarkStart w:id="1670" w:name="_Toc4690"/>
      <w:bookmarkStart w:id="1671" w:name="_Toc24796"/>
      <w:bookmarkStart w:id="1672" w:name="_Toc29264"/>
      <w:bookmarkStart w:id="1673" w:name="_Toc11389"/>
      <w:bookmarkStart w:id="1674" w:name="_Toc22112"/>
      <w:bookmarkStart w:id="1675" w:name="_Toc27179"/>
      <w:bookmarkStart w:id="1676" w:name="_Toc23438"/>
      <w:bookmarkStart w:id="1677" w:name="_Toc29010"/>
      <w:bookmarkStart w:id="1678" w:name="_Toc21429"/>
      <w:bookmarkStart w:id="1679" w:name="_Toc9313"/>
      <w:bookmarkStart w:id="1680" w:name="_Toc17335"/>
      <w:bookmarkStart w:id="1681" w:name="_Toc14143"/>
      <w:bookmarkStart w:id="1682" w:name="_Toc12902"/>
      <w:r>
        <w:rPr>
          <w:rFonts w:hint="eastAsia" w:ascii="仿宋" w:hAnsi="仿宋" w:eastAsia="仿宋" w:cs="仿宋"/>
          <w:b/>
          <w:sz w:val="32"/>
          <w:szCs w:val="32"/>
        </w:rPr>
        <w:t>6.5.4 提前和逾期赎回</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1.再贴现质押式回购的提前赎回，申请人应经人行分支机构同意后，由人行分支机构通过客户端发起操作，系统向ACS发送到期还款申请。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ACS收到到期还款申请后进行检验，校验正确的，进行扣款和记账，向系统返回成功记账回执。如扣款不成功，则视为DVP结算失败。</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2.对于逾期业务，申请人全部采用线下还款方式办理，还款成功后，由人行分支机构手工解除票据质押。</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3.提前赎回和逾期赎回的利息退还或加收，根据人民银行规定线下办理。</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1683" w:name="_Toc27339"/>
      <w:bookmarkStart w:id="1684" w:name="_Toc3199"/>
      <w:bookmarkStart w:id="1685" w:name="_Toc2029"/>
      <w:bookmarkStart w:id="1686" w:name="_Toc5614"/>
      <w:bookmarkStart w:id="1687" w:name="_Toc347"/>
      <w:bookmarkStart w:id="1688" w:name="_Toc932"/>
      <w:bookmarkStart w:id="1689" w:name="_Toc26112"/>
      <w:bookmarkStart w:id="1690" w:name="_Toc7330"/>
      <w:bookmarkStart w:id="1691" w:name="_Toc30163"/>
      <w:bookmarkStart w:id="1692" w:name="_Toc12281"/>
      <w:bookmarkStart w:id="1693" w:name="_Toc21344"/>
      <w:bookmarkStart w:id="1694" w:name="_Toc14454"/>
      <w:bookmarkStart w:id="1695" w:name="_Toc774635969"/>
      <w:bookmarkStart w:id="1696" w:name="_Toc30217"/>
      <w:bookmarkStart w:id="1697" w:name="_Toc10636"/>
      <w:bookmarkStart w:id="1698" w:name="_Toc19568"/>
      <w:bookmarkStart w:id="1699" w:name="_Toc24332"/>
      <w:r>
        <w:rPr>
          <w:rFonts w:hint="eastAsia" w:ascii="仿宋" w:hAnsi="仿宋" w:eastAsia="仿宋" w:cs="仿宋"/>
          <w:b/>
          <w:sz w:val="32"/>
          <w:szCs w:val="32"/>
        </w:rPr>
        <w:t>6.5.5 特殊情况处理</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因ACS故障或系统与ACS之间通讯故障，系统将按照人民银行要求切换至FOP模式。系统FOP模式下，对于首期业务，申请人只能选择FOP方式发送申请，对于之前采用DVP方式申请的未成交业务，人行分支机构可退回申请人，由申请人重新发送FOP申请，系统完成票据质押后，由人行分支机构通过柜台方式放款；对于到期和提前赎回业务，申请人可通过柜台、前置、联网等方式还款，人行分支机构收到足额还款后手动解除票据质押。</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2.因票据业务系统故障，对于首期业务，待系统恢复后再办理；对于到期业务和提前赎回业务，申请人可先通过柜台、前置、联网等方式还款，待系统恢复后，人行分支机构手动解除票据质押。</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3.因逾期导致再贴现票据到期时仍质押在人行分支机构，由人行分支机构发起提示付款或追索。</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br w:type="page"/>
      </w:r>
    </w:p>
    <w:p>
      <w:pPr>
        <w:spacing w:line="590" w:lineRule="exact"/>
        <w:jc w:val="center"/>
        <w:outlineLvl w:val="0"/>
        <w:rPr>
          <w:rFonts w:ascii="仿宋" w:hAnsi="仿宋" w:eastAsia="仿宋" w:cs="仿宋"/>
          <w:b/>
          <w:bCs/>
          <w:kern w:val="44"/>
          <w:sz w:val="40"/>
          <w:szCs w:val="40"/>
        </w:rPr>
      </w:pPr>
      <w:bookmarkStart w:id="1700" w:name="_Toc21667"/>
      <w:bookmarkStart w:id="1701" w:name="_Toc24767"/>
      <w:bookmarkStart w:id="1702" w:name="_Toc21329"/>
      <w:bookmarkStart w:id="1703" w:name="_Toc28921"/>
      <w:bookmarkStart w:id="1704" w:name="_Toc2447"/>
      <w:bookmarkStart w:id="1705" w:name="_Toc21729"/>
      <w:bookmarkStart w:id="1706" w:name="_Toc834"/>
      <w:bookmarkStart w:id="1707" w:name="_Toc4226"/>
      <w:bookmarkStart w:id="1708" w:name="_Toc26324"/>
      <w:bookmarkStart w:id="1709" w:name="_Toc4583"/>
      <w:bookmarkStart w:id="1710" w:name="_Toc25683"/>
      <w:bookmarkStart w:id="1711" w:name="_Toc18121"/>
      <w:bookmarkStart w:id="1712" w:name="_Toc1825"/>
      <w:bookmarkStart w:id="1713" w:name="_Toc1136497716"/>
      <w:bookmarkStart w:id="1714" w:name="_Toc24381"/>
      <w:bookmarkStart w:id="1715" w:name="_Toc2081"/>
      <w:bookmarkStart w:id="1716" w:name="_Toc3150"/>
      <w:r>
        <w:rPr>
          <w:rFonts w:hint="eastAsia" w:ascii="仿宋" w:hAnsi="仿宋" w:eastAsia="仿宋" w:cs="仿宋"/>
          <w:b/>
          <w:bCs/>
          <w:kern w:val="44"/>
          <w:sz w:val="40"/>
          <w:szCs w:val="40"/>
        </w:rPr>
        <w:t>第七章 票据的到期处理</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spacing w:line="590" w:lineRule="exact"/>
        <w:ind w:firstLine="643" w:firstLineChars="200"/>
        <w:rPr>
          <w:rFonts w:ascii="仿宋" w:hAnsi="仿宋" w:eastAsia="仿宋" w:cs="仿宋"/>
          <w:b/>
          <w:sz w:val="32"/>
          <w:szCs w:val="32"/>
        </w:rPr>
      </w:pPr>
    </w:p>
    <w:p>
      <w:pPr>
        <w:spacing w:line="590" w:lineRule="exact"/>
        <w:ind w:firstLine="643" w:firstLineChars="200"/>
        <w:outlineLvl w:val="1"/>
        <w:rPr>
          <w:rFonts w:ascii="仿宋" w:hAnsi="仿宋" w:eastAsia="仿宋" w:cs="仿宋"/>
          <w:b/>
          <w:sz w:val="32"/>
          <w:szCs w:val="32"/>
        </w:rPr>
      </w:pPr>
      <w:bookmarkStart w:id="1717" w:name="_Toc13859"/>
      <w:bookmarkStart w:id="1718" w:name="_Toc30237"/>
      <w:bookmarkStart w:id="1719" w:name="_Toc31415"/>
      <w:bookmarkStart w:id="1720" w:name="_Toc25682"/>
      <w:bookmarkStart w:id="1721" w:name="_Toc1079267639"/>
      <w:bookmarkStart w:id="1722" w:name="_Toc23681"/>
      <w:bookmarkStart w:id="1723" w:name="_Toc26031"/>
      <w:bookmarkStart w:id="1724" w:name="_Toc1145"/>
      <w:bookmarkStart w:id="1725" w:name="_Toc9664"/>
      <w:bookmarkStart w:id="1726" w:name="_Toc29880"/>
      <w:bookmarkStart w:id="1727" w:name="_Toc2136"/>
      <w:bookmarkStart w:id="1728" w:name="_Toc19062"/>
      <w:bookmarkStart w:id="1729" w:name="_Toc8806"/>
      <w:bookmarkStart w:id="1730" w:name="_Toc9270"/>
      <w:r>
        <w:rPr>
          <w:rFonts w:hint="eastAsia" w:ascii="仿宋" w:hAnsi="仿宋" w:eastAsia="仿宋" w:cs="仿宋"/>
          <w:b/>
          <w:sz w:val="32"/>
          <w:szCs w:val="32"/>
        </w:rPr>
        <w:t>7.1 提示付款</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提示付款是指持票人向承兑人请求付款的行为。</w:t>
      </w:r>
    </w:p>
    <w:p>
      <w:pPr>
        <w:spacing w:line="590" w:lineRule="exact"/>
        <w:ind w:firstLine="640" w:firstLineChars="200"/>
        <w:rPr>
          <w:rFonts w:ascii="仿宋" w:hAnsi="仿宋" w:eastAsia="仿宋"/>
          <w:bCs/>
          <w:sz w:val="32"/>
          <w:szCs w:val="32"/>
        </w:rPr>
      </w:pPr>
      <w:r>
        <w:rPr>
          <w:rFonts w:hint="eastAsia" w:ascii="仿宋" w:hAnsi="仿宋" w:eastAsia="仿宋" w:cs="仿宋"/>
          <w:bCs/>
          <w:sz w:val="32"/>
          <w:szCs w:val="32"/>
          <w:lang w:bidi="ar"/>
        </w:rPr>
        <w:t>持票人</w:t>
      </w:r>
      <w:r>
        <w:rPr>
          <w:rFonts w:hint="eastAsia" w:ascii="仿宋" w:hAnsi="仿宋" w:eastAsia="仿宋"/>
          <w:bCs/>
          <w:sz w:val="32"/>
          <w:szCs w:val="32"/>
        </w:rPr>
        <w:t>办理电票</w:t>
      </w:r>
      <w:r>
        <w:rPr>
          <w:rFonts w:hint="eastAsia" w:ascii="仿宋" w:hAnsi="仿宋" w:eastAsia="仿宋"/>
          <w:bCs/>
          <w:sz w:val="32"/>
          <w:szCs w:val="32"/>
          <w:lang w:eastAsia="zh-Hans"/>
        </w:rPr>
        <w:t>和已贴现纸票</w:t>
      </w:r>
      <w:r>
        <w:rPr>
          <w:rFonts w:hint="eastAsia" w:ascii="仿宋" w:hAnsi="仿宋" w:eastAsia="仿宋"/>
          <w:bCs/>
          <w:sz w:val="32"/>
          <w:szCs w:val="32"/>
        </w:rPr>
        <w:t>的提示付款，应通过票交所发起提示付款申请，由承兑人作出应答。</w:t>
      </w:r>
    </w:p>
    <w:p>
      <w:pPr>
        <w:spacing w:line="590" w:lineRule="exact"/>
        <w:ind w:firstLine="640" w:firstLineChars="200"/>
        <w:rPr>
          <w:rFonts w:ascii="仿宋" w:hAnsi="仿宋" w:eastAsia="仿宋"/>
          <w:bCs/>
          <w:sz w:val="32"/>
          <w:szCs w:val="32"/>
        </w:rPr>
      </w:pPr>
    </w:p>
    <w:p>
      <w:pPr>
        <w:spacing w:line="590" w:lineRule="exact"/>
        <w:ind w:firstLine="643" w:firstLineChars="200"/>
        <w:outlineLvl w:val="2"/>
        <w:rPr>
          <w:rFonts w:ascii="仿宋" w:hAnsi="仿宋" w:eastAsia="仿宋" w:cs="仿宋"/>
          <w:b/>
          <w:sz w:val="32"/>
          <w:szCs w:val="32"/>
        </w:rPr>
      </w:pPr>
      <w:bookmarkStart w:id="1731" w:name="_Toc9410"/>
      <w:bookmarkStart w:id="1732" w:name="_Toc17218"/>
      <w:bookmarkStart w:id="1733" w:name="_Toc30229"/>
      <w:bookmarkStart w:id="1734" w:name="_Toc1673891552"/>
      <w:bookmarkStart w:id="1735" w:name="_Toc5304"/>
      <w:bookmarkStart w:id="1736" w:name="_Toc18095"/>
      <w:bookmarkStart w:id="1737" w:name="_Toc24049"/>
      <w:bookmarkStart w:id="1738" w:name="_Toc29974"/>
      <w:bookmarkStart w:id="1739" w:name="_Toc2757"/>
      <w:bookmarkStart w:id="1740" w:name="_Toc15684"/>
      <w:bookmarkStart w:id="1741" w:name="_Toc15591"/>
      <w:bookmarkStart w:id="1742" w:name="_Toc21398"/>
      <w:bookmarkStart w:id="1743" w:name="_Toc20147"/>
      <w:bookmarkStart w:id="1744" w:name="_Toc8272"/>
      <w:r>
        <w:rPr>
          <w:rFonts w:hint="eastAsia" w:ascii="仿宋" w:hAnsi="仿宋" w:eastAsia="仿宋" w:cs="仿宋"/>
          <w:b/>
          <w:sz w:val="32"/>
          <w:szCs w:val="32"/>
        </w:rPr>
        <w:t>7.1.1提前提示付款</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1.在</w:t>
      </w:r>
      <w:r>
        <w:rPr>
          <w:rFonts w:hint="eastAsia" w:ascii="仿宋" w:hAnsi="仿宋" w:eastAsia="仿宋" w:cs="仿宋"/>
          <w:bCs/>
          <w:color w:val="000000"/>
          <w:sz w:val="32"/>
          <w:szCs w:val="32"/>
          <w:lang w:bidi="ar"/>
        </w:rPr>
        <w:t>票据的票面</w:t>
      </w:r>
      <w:r>
        <w:rPr>
          <w:rFonts w:ascii="仿宋" w:hAnsi="仿宋" w:eastAsia="仿宋" w:cs="仿宋"/>
          <w:bCs/>
          <w:color w:val="000000"/>
          <w:sz w:val="32"/>
          <w:szCs w:val="32"/>
          <w:lang w:bidi="ar"/>
        </w:rPr>
        <w:t>到期日前，持票人可将其持有</w:t>
      </w:r>
      <w:r>
        <w:rPr>
          <w:rFonts w:hint="eastAsia" w:ascii="仿宋" w:hAnsi="仿宋" w:eastAsia="仿宋" w:cs="仿宋"/>
          <w:bCs/>
          <w:color w:val="000000"/>
          <w:sz w:val="32"/>
          <w:szCs w:val="32"/>
          <w:lang w:eastAsia="zh-Hans" w:bidi="ar"/>
        </w:rPr>
        <w:t>的无在途业务且未质押的</w:t>
      </w:r>
      <w:r>
        <w:rPr>
          <w:rFonts w:ascii="仿宋" w:hAnsi="仿宋" w:eastAsia="仿宋" w:cs="仿宋"/>
          <w:bCs/>
          <w:color w:val="000000"/>
          <w:sz w:val="32"/>
          <w:szCs w:val="32"/>
          <w:lang w:bidi="ar"/>
        </w:rPr>
        <w:t>票据向承兑人发起提前提示付款</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持票人应</w:t>
      </w:r>
      <w:r>
        <w:rPr>
          <w:rFonts w:hint="eastAsia" w:ascii="仿宋" w:hAnsi="仿宋" w:eastAsia="仿宋" w:cs="仿宋"/>
          <w:sz w:val="32"/>
          <w:szCs w:val="32"/>
        </w:rPr>
        <w:t>在营业日的业务时序和清算结算业务时序结束前发起提前提示付款申请</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bCs/>
          <w:color w:val="000000"/>
          <w:sz w:val="32"/>
          <w:szCs w:val="32"/>
          <w:lang w:bidi="ar"/>
        </w:rPr>
        <w:t>提示付款金额等于持票人持有票据（包）金额，子票区间与持有票据（包）的子票区间一致。</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4.</w:t>
      </w:r>
      <w:r>
        <w:rPr>
          <w:rFonts w:hint="eastAsia" w:ascii="仿宋" w:hAnsi="仿宋" w:eastAsia="仿宋" w:cs="仿宋"/>
          <w:bCs/>
          <w:color w:val="000000"/>
          <w:sz w:val="32"/>
          <w:szCs w:val="32"/>
          <w:lang w:bidi="ar"/>
        </w:rPr>
        <w:t>结算方式应为“线上清算”。</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持票人通过参与者服务机构客户终端，选择要提示付款的票据，</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提示付款</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hint="eastAsia" w:ascii="仿宋" w:hAnsi="仿宋" w:eastAsia="仿宋" w:cs="仿宋"/>
          <w:sz w:val="32"/>
          <w:szCs w:val="32"/>
        </w:rPr>
        <w:t>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（4）业务申请日期、业务种类（“提示付款”）、业务批次号；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（6）结算方式（“</w:t>
      </w:r>
      <w:r>
        <w:rPr>
          <w:rFonts w:hint="eastAsia" w:ascii="仿宋" w:hAnsi="仿宋" w:eastAsia="仿宋" w:cs="仿宋"/>
          <w:bCs/>
          <w:color w:val="000000"/>
          <w:sz w:val="32"/>
          <w:szCs w:val="32"/>
          <w:lang w:bidi="ar"/>
        </w:rPr>
        <w:t>线上清算</w:t>
      </w:r>
      <w:r>
        <w:rPr>
          <w:rFonts w:hint="eastAsia" w:ascii="仿宋" w:hAnsi="仿宋" w:eastAsia="仿宋" w:cs="仿宋"/>
          <w:sz w:val="32"/>
          <w:szCs w:val="32"/>
        </w:rPr>
        <w:t>”）、清算类型（“全额清算”）、结算日期、结算金额；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（7）申请人的入账账户名称、账号、开户行的参与者代码；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（8）承接机构与被承接机构的参与者代码（申请人要素信息中的账户开户机构发生承接的）。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持票人的参与者服务机构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，并向持票人提示业务申请的处理结果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承兑人的参与者服务机构收到票交所转发的申请，通知承兑人。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4.申请发起当日日终前，申请人可以撤销待应答的提示付款申请。</w:t>
      </w:r>
    </w:p>
    <w:p>
      <w:pPr>
        <w:spacing w:line="590" w:lineRule="exact"/>
        <w:ind w:firstLine="640" w:firstLineChars="200"/>
        <w:rPr>
          <w:rFonts w:ascii="仿宋" w:hAnsi="仿宋" w:eastAsia="仿宋" w:cs="仿宋"/>
          <w:sz w:val="32"/>
          <w:szCs w:val="32"/>
          <w:lang w:eastAsia="zh-Hans" w:bidi="ar"/>
        </w:rPr>
      </w:pPr>
      <w:r>
        <w:rPr>
          <w:rFonts w:hint="eastAsia" w:ascii="仿宋" w:hAnsi="仿宋" w:eastAsia="仿宋" w:cs="仿宋"/>
          <w:sz w:val="32"/>
          <w:szCs w:val="32"/>
          <w:lang w:bidi="ar"/>
        </w:rPr>
        <w:t>5.承兑人通过参与者服务机构客户终端，对收到的提示付款申请进行应答（同意或拒绝）。</w:t>
      </w:r>
      <w:r>
        <w:rPr>
          <w:rFonts w:hint="eastAsia" w:ascii="仿宋" w:hAnsi="仿宋" w:eastAsia="仿宋" w:cs="仿宋"/>
          <w:sz w:val="32"/>
          <w:szCs w:val="32"/>
          <w:lang w:eastAsia="zh-Hans" w:bidi="ar"/>
        </w:rPr>
        <w:t>应答为拒绝付款的应同时说明拒付理由。</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其中，已登记止付信息或冻结信息且未解除的票据，只可应答为拒绝付款。</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提示付款申请发起的当日日终，提示付款申请仍未获应答的，视同承兑人拒绝付款，票交所</w:t>
      </w:r>
      <w:r>
        <w:rPr>
          <w:rFonts w:hint="eastAsia" w:ascii="仿宋" w:hAnsi="仿宋" w:eastAsia="仿宋" w:cs="仿宋"/>
          <w:sz w:val="32"/>
          <w:szCs w:val="32"/>
          <w:lang w:eastAsia="zh-Hans" w:bidi="ar"/>
        </w:rPr>
        <w:t>处理为</w:t>
      </w:r>
      <w:r>
        <w:rPr>
          <w:rFonts w:hint="eastAsia" w:ascii="仿宋" w:hAnsi="仿宋" w:eastAsia="仿宋" w:cs="仿宋"/>
          <w:sz w:val="32"/>
          <w:szCs w:val="32"/>
          <w:lang w:bidi="ar"/>
        </w:rPr>
        <w:t>拒绝付款。</w:t>
      </w:r>
    </w:p>
    <w:p>
      <w:pPr>
        <w:spacing w:line="590" w:lineRule="exact"/>
        <w:ind w:firstLine="640" w:firstLineChars="200"/>
        <w:rPr>
          <w:rFonts w:ascii="仿宋" w:hAnsi="仿宋" w:eastAsia="仿宋" w:cs="仿宋"/>
          <w:sz w:val="32"/>
          <w:szCs w:val="32"/>
          <w:lang w:eastAsia="zh-Hans" w:bidi="ar"/>
        </w:rPr>
      </w:pPr>
      <w:r>
        <w:rPr>
          <w:rFonts w:hint="eastAsia" w:ascii="仿宋" w:hAnsi="仿宋" w:eastAsia="仿宋" w:cs="仿宋"/>
          <w:sz w:val="32"/>
          <w:szCs w:val="32"/>
          <w:lang w:bidi="ar"/>
        </w:rPr>
        <w:t>6.</w:t>
      </w:r>
      <w:r>
        <w:rPr>
          <w:rFonts w:hint="eastAsia" w:ascii="仿宋" w:hAnsi="仿宋" w:eastAsia="仿宋" w:cs="仿宋"/>
          <w:sz w:val="32"/>
          <w:szCs w:val="32"/>
          <w:lang w:eastAsia="zh-Hans" w:bidi="ar"/>
        </w:rPr>
        <w:t>如承兑人应答为同意</w:t>
      </w:r>
      <w:r>
        <w:rPr>
          <w:rFonts w:hint="eastAsia" w:ascii="仿宋" w:hAnsi="仿宋" w:eastAsia="仿宋" w:cs="仿宋"/>
          <w:sz w:val="32"/>
          <w:szCs w:val="32"/>
          <w:lang w:bidi="ar"/>
        </w:rPr>
        <w:t>付款</w:t>
      </w:r>
      <w:r>
        <w:rPr>
          <w:rFonts w:hint="eastAsia" w:ascii="仿宋" w:hAnsi="仿宋" w:eastAsia="仿宋" w:cs="仿宋"/>
          <w:sz w:val="32"/>
          <w:szCs w:val="32"/>
          <w:lang w:eastAsia="zh-Hans" w:bidi="ar"/>
        </w:rPr>
        <w:t>的，作如下处理：</w:t>
      </w:r>
    </w:p>
    <w:p>
      <w:pPr>
        <w:spacing w:line="59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lang w:eastAsia="zh-Hans" w:bidi="ar"/>
        </w:rPr>
        <w:t>（1）</w:t>
      </w:r>
      <w:r>
        <w:rPr>
          <w:rFonts w:hint="eastAsia" w:ascii="仿宋" w:hAnsi="仿宋" w:eastAsia="仿宋" w:cs="仿宋"/>
          <w:sz w:val="32"/>
          <w:szCs w:val="32"/>
          <w:lang w:bidi="ar"/>
        </w:rPr>
        <w:t>参与者服务机构为</w:t>
      </w:r>
      <w:r>
        <w:rPr>
          <w:rFonts w:hint="eastAsia" w:ascii="仿宋" w:hAnsi="仿宋" w:eastAsia="仿宋" w:cs="仿宋"/>
          <w:sz w:val="32"/>
          <w:szCs w:val="32"/>
          <w:lang w:eastAsia="zh-Hans" w:bidi="ar"/>
        </w:rPr>
        <w:t>金融机构</w:t>
      </w:r>
      <w:r>
        <w:rPr>
          <w:rFonts w:hint="eastAsia" w:ascii="仿宋" w:hAnsi="仿宋" w:eastAsia="仿宋" w:cs="仿宋"/>
          <w:sz w:val="32"/>
          <w:szCs w:val="32"/>
          <w:lang w:bidi="ar"/>
        </w:rPr>
        <w:t>的，</w:t>
      </w:r>
      <w:r>
        <w:rPr>
          <w:rFonts w:hint="eastAsia" w:ascii="仿宋" w:hAnsi="仿宋" w:eastAsia="仿宋" w:cs="仿宋"/>
          <w:sz w:val="32"/>
          <w:szCs w:val="32"/>
        </w:rPr>
        <w:t>票交所完成票据资金清算，并对票据作结清处理</w:t>
      </w:r>
      <w:r>
        <w:rPr>
          <w:rFonts w:hint="eastAsia" w:ascii="仿宋" w:hAnsi="仿宋" w:eastAsia="仿宋" w:cs="仿宋"/>
          <w:sz w:val="32"/>
          <w:szCs w:val="32"/>
          <w:lang w:eastAsia="zh-Hans"/>
        </w:rPr>
        <w:t>。资金清算失败的，</w:t>
      </w:r>
      <w:r>
        <w:rPr>
          <w:rFonts w:hint="eastAsia" w:ascii="仿宋" w:hAnsi="仿宋" w:eastAsia="仿宋" w:cs="仿宋"/>
          <w:sz w:val="32"/>
          <w:szCs w:val="32"/>
        </w:rPr>
        <w:t>票交所处理为</w:t>
      </w:r>
      <w:r>
        <w:rPr>
          <w:rFonts w:hint="eastAsia" w:ascii="仿宋" w:hAnsi="仿宋" w:eastAsia="仿宋" w:cs="仿宋"/>
          <w:sz w:val="32"/>
          <w:szCs w:val="32"/>
          <w:lang w:eastAsia="zh-Hans"/>
        </w:rPr>
        <w:t>拒绝</w:t>
      </w:r>
      <w:r>
        <w:rPr>
          <w:rFonts w:hint="eastAsia" w:ascii="仿宋" w:hAnsi="仿宋" w:eastAsia="仿宋" w:cs="仿宋"/>
          <w:sz w:val="32"/>
          <w:szCs w:val="32"/>
        </w:rPr>
        <w:t>付款</w:t>
      </w:r>
      <w:r>
        <w:rPr>
          <w:rFonts w:hint="eastAsia" w:ascii="仿宋" w:hAnsi="仿宋" w:eastAsia="仿宋" w:cs="仿宋"/>
          <w:sz w:val="32"/>
          <w:szCs w:val="32"/>
          <w:lang w:eastAsia="zh-Hans"/>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eastAsia="zh-Hans" w:bidi="ar"/>
        </w:rPr>
        <w:t>（</w:t>
      </w:r>
      <w:r>
        <w:rPr>
          <w:rFonts w:ascii="仿宋" w:hAnsi="仿宋" w:eastAsia="仿宋" w:cs="仿宋"/>
          <w:bCs/>
          <w:color w:val="000000"/>
          <w:sz w:val="32"/>
          <w:szCs w:val="32"/>
          <w:lang w:eastAsia="zh-Hans" w:bidi="ar"/>
        </w:rPr>
        <w:t>2</w:t>
      </w:r>
      <w:r>
        <w:rPr>
          <w:rFonts w:hint="eastAsia" w:ascii="仿宋" w:hAnsi="仿宋" w:eastAsia="仿宋" w:cs="仿宋"/>
          <w:bCs/>
          <w:color w:val="000000"/>
          <w:sz w:val="32"/>
          <w:szCs w:val="32"/>
          <w:lang w:eastAsia="zh-Hans" w:bidi="ar"/>
        </w:rPr>
        <w:t>）</w:t>
      </w:r>
      <w:r>
        <w:rPr>
          <w:rFonts w:hint="eastAsia" w:ascii="仿宋" w:hAnsi="仿宋" w:eastAsia="仿宋" w:cs="仿宋"/>
          <w:bCs/>
          <w:color w:val="000000"/>
          <w:sz w:val="32"/>
          <w:szCs w:val="32"/>
          <w:lang w:bidi="ar"/>
        </w:rPr>
        <w:t>参与者服务机构为供应链平台的，如承兑人应答为同意付款的，票交所向承兑人的结算账户开户行发送扣款确认申请。扣款确认申请的相关流程和规则详见本指南第“7.1.4</w:t>
      </w:r>
      <w:r>
        <w:rPr>
          <w:rFonts w:hint="eastAsia" w:ascii="仿宋" w:hAnsi="仿宋" w:eastAsia="仿宋" w:cs="仿宋"/>
          <w:bCs/>
          <w:color w:val="000000"/>
          <w:sz w:val="32"/>
          <w:szCs w:val="32"/>
          <w:lang w:val="en-US" w:eastAsia="zh-CN" w:bidi="ar"/>
        </w:rPr>
        <w:t xml:space="preserve"> 结算扣款确认</w:t>
      </w:r>
      <w:r>
        <w:rPr>
          <w:rFonts w:hint="eastAsia" w:ascii="仿宋" w:hAnsi="仿宋" w:eastAsia="仿宋" w:cs="仿宋"/>
          <w:bCs/>
          <w:color w:val="000000"/>
          <w:sz w:val="32"/>
          <w:szCs w:val="32"/>
          <w:lang w:bidi="ar"/>
        </w:rPr>
        <w:t>”章节。</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7</w:t>
      </w:r>
      <w:r>
        <w:rPr>
          <w:rFonts w:hint="eastAsia" w:ascii="仿宋" w:hAnsi="仿宋" w:eastAsia="仿宋" w:cs="仿宋"/>
          <w:bCs/>
          <w:color w:val="000000"/>
          <w:sz w:val="32"/>
          <w:szCs w:val="32"/>
          <w:lang w:bidi="ar"/>
        </w:rPr>
        <w:t>.持票人通过参与者服务机构客户终端，</w:t>
      </w:r>
      <w:r>
        <w:rPr>
          <w:rFonts w:hint="eastAsia" w:ascii="仿宋" w:hAnsi="仿宋" w:eastAsia="仿宋" w:cs="仿宋"/>
          <w:sz w:val="32"/>
          <w:szCs w:val="32"/>
        </w:rPr>
        <w:t>查看票交所转发的</w:t>
      </w:r>
      <w:r>
        <w:rPr>
          <w:rFonts w:hint="eastAsia" w:ascii="仿宋" w:hAnsi="仿宋" w:eastAsia="仿宋" w:cs="仿宋"/>
          <w:bCs/>
          <w:color w:val="000000"/>
          <w:sz w:val="32"/>
          <w:szCs w:val="32"/>
          <w:lang w:bidi="ar"/>
        </w:rPr>
        <w:t>提示付款业务处理结果。</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rPr>
      </w:pPr>
      <w:bookmarkStart w:id="1745" w:name="_Toc26820"/>
      <w:bookmarkStart w:id="1746" w:name="_Toc27963"/>
      <w:bookmarkStart w:id="1747" w:name="_Toc9991"/>
      <w:bookmarkStart w:id="1748" w:name="_Toc25466"/>
      <w:bookmarkStart w:id="1749" w:name="_Toc2666"/>
      <w:bookmarkStart w:id="1750" w:name="_Toc1960339338"/>
      <w:bookmarkStart w:id="1751" w:name="_Toc15560"/>
      <w:bookmarkStart w:id="1752" w:name="_Toc30234"/>
      <w:bookmarkStart w:id="1753" w:name="_Toc4369"/>
      <w:bookmarkStart w:id="1754" w:name="_Toc3439"/>
      <w:bookmarkStart w:id="1755" w:name="_Toc23742"/>
      <w:bookmarkStart w:id="1756" w:name="_Toc18894"/>
      <w:bookmarkStart w:id="1757" w:name="_Toc21987"/>
      <w:bookmarkStart w:id="1758" w:name="_Toc11022"/>
      <w:r>
        <w:rPr>
          <w:rFonts w:hint="eastAsia" w:ascii="仿宋" w:hAnsi="仿宋" w:eastAsia="仿宋" w:cs="仿宋"/>
          <w:b/>
          <w:sz w:val="32"/>
          <w:szCs w:val="32"/>
        </w:rPr>
        <w:t>7.1.2到期提示付款</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1.</w:t>
      </w:r>
      <w:r>
        <w:rPr>
          <w:rFonts w:hint="eastAsia" w:ascii="仿宋" w:hAnsi="仿宋" w:eastAsia="仿宋" w:cs="仿宋"/>
          <w:bCs/>
          <w:color w:val="000000"/>
          <w:sz w:val="32"/>
          <w:szCs w:val="32"/>
          <w:lang w:bidi="ar"/>
        </w:rPr>
        <w:t>票据到期日当天（遇法定休假日、大额支付系统非营业日、票据业务系统非营业日顺延），票交所</w:t>
      </w:r>
      <w:r>
        <w:rPr>
          <w:rFonts w:hint="eastAsia" w:ascii="仿宋" w:hAnsi="仿宋" w:eastAsia="仿宋" w:cs="仿宋"/>
          <w:bCs/>
          <w:color w:val="000000"/>
          <w:sz w:val="32"/>
          <w:szCs w:val="32"/>
          <w:lang w:eastAsia="zh-Hans" w:bidi="ar"/>
        </w:rPr>
        <w:t>根据持票人</w:t>
      </w:r>
      <w:r>
        <w:rPr>
          <w:rFonts w:hint="eastAsia" w:ascii="仿宋" w:hAnsi="仿宋" w:eastAsia="仿宋" w:cs="仿宋"/>
          <w:bCs/>
          <w:color w:val="000000"/>
          <w:sz w:val="32"/>
          <w:szCs w:val="32"/>
          <w:lang w:bidi="ar"/>
        </w:rPr>
        <w:t>（或已质押未解除的质权人）授权发起提示付款申请，向承兑人请求付款。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2.已完成提示收票、已至票据到期日且尚未结清的票据（含已止付登记且未解除的纸票、已冻结登记且未解除的电票、已质押未解除的票据），票交所发起提示付款申请。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票交所发起提示付款申请的时间，由票交所</w:t>
      </w:r>
      <w:r>
        <w:rPr>
          <w:rFonts w:hint="eastAsia" w:ascii="仿宋" w:hAnsi="仿宋" w:eastAsia="仿宋" w:cs="仿宋"/>
          <w:bCs/>
          <w:color w:val="000000"/>
          <w:sz w:val="32"/>
          <w:szCs w:val="32"/>
          <w:lang w:eastAsia="zh-Hans" w:bidi="ar"/>
        </w:rPr>
        <w:t>统一设置，</w:t>
      </w:r>
      <w:r>
        <w:rPr>
          <w:rFonts w:hint="eastAsia" w:ascii="仿宋" w:hAnsi="仿宋" w:eastAsia="仿宋" w:cs="仿宋"/>
          <w:bCs/>
          <w:color w:val="000000"/>
          <w:sz w:val="32"/>
          <w:szCs w:val="32"/>
          <w:lang w:bidi="ar"/>
        </w:rPr>
        <w:t>参数设置为1</w:t>
      </w:r>
      <w:r>
        <w:rPr>
          <w:rFonts w:ascii="仿宋" w:hAnsi="仿宋" w:eastAsia="仿宋" w:cs="仿宋"/>
          <w:bCs/>
          <w:color w:val="000000"/>
          <w:sz w:val="32"/>
          <w:szCs w:val="32"/>
          <w:lang w:bidi="ar"/>
        </w:rPr>
        <w:t>0</w:t>
      </w:r>
      <w:r>
        <w:rPr>
          <w:rFonts w:hint="eastAsia" w:ascii="仿宋" w:hAnsi="仿宋" w:eastAsia="仿宋" w:cs="仿宋"/>
          <w:bCs/>
          <w:color w:val="000000"/>
          <w:sz w:val="32"/>
          <w:szCs w:val="32"/>
          <w:lang w:bidi="ar"/>
        </w:rPr>
        <w:t>:0</w:t>
      </w:r>
      <w:r>
        <w:rPr>
          <w:rFonts w:ascii="仿宋" w:hAnsi="仿宋" w:eastAsia="仿宋" w:cs="仿宋"/>
          <w:bCs/>
          <w:color w:val="000000"/>
          <w:sz w:val="32"/>
          <w:szCs w:val="32"/>
          <w:lang w:bidi="ar"/>
        </w:rPr>
        <w:t>0</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提示付款申请的金额等于持票人持有票据（包）金额，子票区间与持有票据（包）的子票区间一致。</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结算方式应为“线上清算”。</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1.票据到期日当天（遇法定休假日、大额支付系统非营业日、票据业务系统非营业日顺延），票交所</w:t>
      </w:r>
      <w:r>
        <w:rPr>
          <w:rFonts w:hint="eastAsia" w:ascii="仿宋" w:hAnsi="仿宋" w:eastAsia="仿宋" w:cs="仿宋"/>
          <w:bCs/>
          <w:color w:val="000000"/>
          <w:sz w:val="32"/>
          <w:szCs w:val="32"/>
          <w:lang w:eastAsia="zh-Hans" w:bidi="ar"/>
        </w:rPr>
        <w:t>根据持票人</w:t>
      </w:r>
      <w:r>
        <w:rPr>
          <w:rFonts w:hint="eastAsia" w:ascii="仿宋" w:hAnsi="仿宋" w:eastAsia="仿宋" w:cs="仿宋"/>
          <w:bCs/>
          <w:color w:val="000000"/>
          <w:sz w:val="32"/>
          <w:szCs w:val="32"/>
          <w:lang w:bidi="ar"/>
        </w:rPr>
        <w:t>（或已质押未解除的质权人）授权发起提示付款申请，并向承兑人通知票据明细信息。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eastAsia="zh-Hans" w:bidi="ar"/>
        </w:rPr>
        <w:t>对于</w:t>
      </w:r>
      <w:r>
        <w:rPr>
          <w:rFonts w:hint="eastAsia" w:ascii="仿宋" w:hAnsi="仿宋" w:eastAsia="仿宋" w:cs="仿宋"/>
          <w:bCs/>
          <w:color w:val="000000"/>
          <w:sz w:val="32"/>
          <w:szCs w:val="32"/>
          <w:lang w:bidi="ar"/>
        </w:rPr>
        <w:t>未登记冻结或止付信息</w:t>
      </w:r>
      <w:r>
        <w:rPr>
          <w:rFonts w:hint="eastAsia" w:ascii="仿宋" w:hAnsi="仿宋" w:eastAsia="仿宋" w:cs="仿宋"/>
          <w:bCs/>
          <w:color w:val="000000"/>
          <w:sz w:val="32"/>
          <w:szCs w:val="32"/>
          <w:lang w:eastAsia="zh-Hans" w:bidi="ar"/>
        </w:rPr>
        <w:t>的</w:t>
      </w:r>
      <w:r>
        <w:rPr>
          <w:rFonts w:hint="eastAsia" w:ascii="仿宋" w:hAnsi="仿宋" w:eastAsia="仿宋" w:cs="仿宋"/>
          <w:bCs/>
          <w:color w:val="000000"/>
          <w:sz w:val="32"/>
          <w:szCs w:val="32"/>
          <w:lang w:bidi="ar"/>
        </w:rPr>
        <w:t>银票和财票（不含未付款确认的</w:t>
      </w:r>
      <w:r>
        <w:rPr>
          <w:rFonts w:hint="eastAsia" w:ascii="仿宋" w:hAnsi="仿宋" w:eastAsia="仿宋" w:cs="仿宋"/>
          <w:bCs/>
          <w:color w:val="000000"/>
          <w:sz w:val="32"/>
          <w:szCs w:val="32"/>
          <w:lang w:eastAsia="zh-Hans" w:bidi="ar"/>
        </w:rPr>
        <w:t>纸质银票</w:t>
      </w:r>
      <w:r>
        <w:rPr>
          <w:rFonts w:hint="eastAsia" w:ascii="仿宋" w:hAnsi="仿宋" w:eastAsia="仿宋" w:cs="仿宋"/>
          <w:bCs/>
          <w:color w:val="000000"/>
          <w:sz w:val="32"/>
          <w:szCs w:val="32"/>
          <w:lang w:bidi="ar"/>
        </w:rPr>
        <w:t>和财票），票交所根据承兑人授权处理为应答同意。</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hint="eastAsia" w:ascii="仿宋" w:hAnsi="仿宋" w:eastAsia="仿宋" w:cs="仿宋"/>
          <w:bCs/>
          <w:color w:val="000000"/>
          <w:sz w:val="32"/>
          <w:szCs w:val="32"/>
          <w:lang w:eastAsia="zh-Hans" w:bidi="ar"/>
        </w:rPr>
        <w:t>对于</w:t>
      </w:r>
      <w:r>
        <w:rPr>
          <w:rFonts w:hint="eastAsia" w:ascii="仿宋" w:hAnsi="仿宋" w:eastAsia="仿宋" w:cs="仿宋"/>
          <w:bCs/>
          <w:color w:val="000000"/>
          <w:sz w:val="32"/>
          <w:szCs w:val="32"/>
          <w:lang w:bidi="ar"/>
        </w:rPr>
        <w:t>商票、</w:t>
      </w:r>
      <w:r>
        <w:rPr>
          <w:rFonts w:hint="eastAsia" w:ascii="仿宋" w:hAnsi="仿宋" w:eastAsia="仿宋" w:cs="仿宋"/>
          <w:bCs/>
          <w:color w:val="000000"/>
          <w:sz w:val="32"/>
          <w:szCs w:val="32"/>
          <w:lang w:eastAsia="zh-Hans" w:bidi="ar"/>
        </w:rPr>
        <w:t>已</w:t>
      </w:r>
      <w:r>
        <w:rPr>
          <w:rFonts w:hint="eastAsia" w:ascii="仿宋" w:hAnsi="仿宋" w:eastAsia="仿宋" w:cs="仿宋"/>
          <w:bCs/>
          <w:color w:val="000000"/>
          <w:sz w:val="32"/>
          <w:szCs w:val="32"/>
          <w:lang w:bidi="ar"/>
        </w:rPr>
        <w:t>登记冻结或止付信息且未解除的银票和财票、</w:t>
      </w:r>
      <w:r>
        <w:rPr>
          <w:rFonts w:hint="eastAsia" w:ascii="仿宋" w:hAnsi="仿宋" w:eastAsia="仿宋" w:cs="仿宋"/>
          <w:bCs/>
          <w:color w:val="000000"/>
          <w:sz w:val="32"/>
          <w:szCs w:val="32"/>
          <w:lang w:eastAsia="zh-Hans" w:bidi="ar"/>
        </w:rPr>
        <w:t>未付款确认的纸质银票</w:t>
      </w:r>
      <w:r>
        <w:rPr>
          <w:rFonts w:hint="eastAsia" w:ascii="仿宋" w:hAnsi="仿宋" w:eastAsia="仿宋" w:cs="仿宋"/>
          <w:bCs/>
          <w:color w:val="000000"/>
          <w:sz w:val="32"/>
          <w:szCs w:val="32"/>
          <w:lang w:bidi="ar"/>
        </w:rPr>
        <w:t>和财票，承兑人的参与者服务机构收到票交所转发的申请，通知承兑人应答。</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4.承兑人对收到的提示付款申请进行应答（同意或拒绝）。</w:t>
      </w:r>
      <w:r>
        <w:rPr>
          <w:rFonts w:hint="eastAsia" w:ascii="仿宋" w:hAnsi="仿宋" w:eastAsia="仿宋" w:cs="仿宋"/>
          <w:sz w:val="32"/>
          <w:szCs w:val="32"/>
          <w:lang w:eastAsia="zh-Hans" w:bidi="ar"/>
        </w:rPr>
        <w:t>应答为拒绝付款的应同时说明拒付理由。</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其中，已登记冻结或止付信息且未解除的票据，只可应答为拒绝付款。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提示付款申请发起的当日日终，提示付款申请仍未获应答的，</w:t>
      </w:r>
      <w:r>
        <w:rPr>
          <w:rFonts w:hint="eastAsia" w:ascii="仿宋" w:hAnsi="仿宋" w:eastAsia="仿宋" w:cs="仿宋"/>
          <w:sz w:val="32"/>
          <w:szCs w:val="32"/>
          <w:lang w:bidi="ar"/>
        </w:rPr>
        <w:t>视同承兑人拒绝付款，</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处理为</w:t>
      </w:r>
      <w:r>
        <w:rPr>
          <w:rFonts w:hint="eastAsia" w:ascii="仿宋" w:hAnsi="仿宋" w:eastAsia="仿宋" w:cs="仿宋"/>
          <w:bCs/>
          <w:color w:val="000000"/>
          <w:sz w:val="32"/>
          <w:szCs w:val="32"/>
          <w:lang w:bidi="ar"/>
        </w:rPr>
        <w:t>拒绝付款。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hint="eastAsia" w:ascii="仿宋" w:hAnsi="仿宋" w:eastAsia="仿宋" w:cs="仿宋"/>
          <w:bCs/>
          <w:color w:val="000000"/>
          <w:sz w:val="32"/>
          <w:szCs w:val="32"/>
          <w:lang w:bidi="ar"/>
        </w:rPr>
        <w:tab/>
      </w:r>
      <w:r>
        <w:rPr>
          <w:rFonts w:hint="eastAsia" w:ascii="仿宋" w:hAnsi="仿宋" w:eastAsia="仿宋" w:cs="仿宋"/>
          <w:bCs/>
          <w:color w:val="000000"/>
          <w:sz w:val="32"/>
          <w:szCs w:val="32"/>
          <w:lang w:bidi="ar"/>
        </w:rPr>
        <w:t>商票承兑人的参与者服务机构应根据承兑人的授权，在协议约定的</w:t>
      </w:r>
      <w:r>
        <w:rPr>
          <w:rFonts w:hint="eastAsia" w:ascii="仿宋" w:hAnsi="仿宋" w:eastAsia="仿宋" w:cs="仿宋"/>
          <w:bCs/>
          <w:color w:val="000000"/>
          <w:sz w:val="32"/>
          <w:szCs w:val="32"/>
          <w:lang w:val="en-US" w:eastAsia="zh-CN" w:bidi="ar"/>
        </w:rPr>
        <w:t>合理</w:t>
      </w:r>
      <w:r>
        <w:rPr>
          <w:rFonts w:hint="eastAsia" w:ascii="仿宋" w:hAnsi="仿宋" w:eastAsia="仿宋" w:cs="仿宋"/>
          <w:bCs/>
          <w:color w:val="000000"/>
          <w:sz w:val="32"/>
          <w:szCs w:val="32"/>
          <w:lang w:bidi="ar"/>
        </w:rPr>
        <w:t xml:space="preserve">时点作以下处理： </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参与者服务机构为金融机构时，承兑人结算账户余额足够支付票款的，参与者服务机构应扣划承兑人账户资金，并代承兑人作出同意付款应答；承兑人结算账户余额不足以支付票款的，参与者服务机构应代承兑人作出拒付应答。</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（2）参与者服务机构为供应链平台时，应代承兑人作出同意付款应答。</w:t>
      </w:r>
    </w:p>
    <w:p>
      <w:pPr>
        <w:spacing w:line="590" w:lineRule="exact"/>
        <w:ind w:firstLine="640" w:firstLineChars="200"/>
        <w:rPr>
          <w:rFonts w:ascii="仿宋" w:hAnsi="仿宋" w:eastAsia="仿宋" w:cs="仿宋"/>
          <w:bCs/>
          <w:color w:val="000000"/>
          <w:sz w:val="32"/>
          <w:szCs w:val="32"/>
          <w:lang w:eastAsia="zh-Hans" w:bidi="ar"/>
        </w:rPr>
      </w:pPr>
      <w:r>
        <w:rPr>
          <w:rFonts w:ascii="仿宋" w:hAnsi="仿宋" w:eastAsia="仿宋" w:cs="仿宋"/>
          <w:bCs/>
          <w:color w:val="000000"/>
          <w:sz w:val="32"/>
          <w:szCs w:val="32"/>
          <w:lang w:bidi="ar"/>
        </w:rPr>
        <w:t>6.</w:t>
      </w:r>
      <w:r>
        <w:rPr>
          <w:rFonts w:hint="eastAsia" w:ascii="仿宋" w:hAnsi="仿宋" w:eastAsia="仿宋" w:cs="仿宋"/>
          <w:bCs/>
          <w:color w:val="000000"/>
          <w:sz w:val="32"/>
          <w:szCs w:val="32"/>
          <w:lang w:eastAsia="zh-Hans" w:bidi="ar"/>
        </w:rPr>
        <w:t>承兑人应答为同意</w:t>
      </w:r>
      <w:r>
        <w:rPr>
          <w:rFonts w:hint="eastAsia" w:ascii="仿宋" w:hAnsi="仿宋" w:eastAsia="仿宋" w:cs="仿宋"/>
          <w:bCs/>
          <w:color w:val="000000"/>
          <w:sz w:val="32"/>
          <w:szCs w:val="32"/>
          <w:lang w:bidi="ar"/>
        </w:rPr>
        <w:t>付款</w:t>
      </w:r>
      <w:r>
        <w:rPr>
          <w:rFonts w:hint="eastAsia" w:ascii="仿宋" w:hAnsi="仿宋" w:eastAsia="仿宋" w:cs="仿宋"/>
          <w:bCs/>
          <w:color w:val="000000"/>
          <w:sz w:val="32"/>
          <w:szCs w:val="32"/>
          <w:lang w:eastAsia="zh-Hans" w:bidi="ar"/>
        </w:rPr>
        <w:t>的，作如下处理：</w:t>
      </w:r>
    </w:p>
    <w:p>
      <w:pPr>
        <w:spacing w:line="590" w:lineRule="exact"/>
        <w:ind w:firstLine="640" w:firstLineChars="200"/>
        <w:rPr>
          <w:rFonts w:ascii="仿宋" w:hAnsi="仿宋" w:eastAsia="仿宋" w:cs="仿宋"/>
          <w:bCs/>
          <w:color w:val="000000"/>
          <w:sz w:val="32"/>
          <w:szCs w:val="32"/>
          <w:lang w:eastAsia="zh-Hans" w:bidi="ar"/>
        </w:rPr>
      </w:pPr>
      <w:r>
        <w:rPr>
          <w:rFonts w:hint="eastAsia" w:ascii="仿宋" w:hAnsi="仿宋" w:eastAsia="仿宋" w:cs="仿宋"/>
          <w:bCs/>
          <w:color w:val="000000"/>
          <w:sz w:val="32"/>
          <w:szCs w:val="32"/>
          <w:lang w:eastAsia="zh-Hans" w:bidi="ar"/>
        </w:rPr>
        <w:t>（</w:t>
      </w:r>
      <w:r>
        <w:rPr>
          <w:rFonts w:ascii="仿宋" w:hAnsi="仿宋" w:eastAsia="仿宋" w:cs="仿宋"/>
          <w:bCs/>
          <w:color w:val="000000"/>
          <w:sz w:val="32"/>
          <w:szCs w:val="32"/>
          <w:lang w:eastAsia="zh-Hans" w:bidi="ar"/>
        </w:rPr>
        <w:t>1</w:t>
      </w:r>
      <w:r>
        <w:rPr>
          <w:rFonts w:hint="eastAsia" w:ascii="仿宋" w:hAnsi="仿宋" w:eastAsia="仿宋" w:cs="仿宋"/>
          <w:bCs/>
          <w:color w:val="000000"/>
          <w:sz w:val="32"/>
          <w:szCs w:val="32"/>
          <w:lang w:eastAsia="zh-Hans" w:bidi="ar"/>
        </w:rPr>
        <w:t>）</w:t>
      </w:r>
      <w:r>
        <w:rPr>
          <w:rFonts w:hint="eastAsia" w:ascii="仿宋" w:hAnsi="仿宋" w:eastAsia="仿宋" w:cs="仿宋"/>
          <w:bCs/>
          <w:color w:val="000000"/>
          <w:sz w:val="32"/>
          <w:szCs w:val="32"/>
          <w:lang w:bidi="ar"/>
        </w:rPr>
        <w:t>参与者服务机构为</w:t>
      </w:r>
      <w:r>
        <w:rPr>
          <w:rFonts w:hint="eastAsia" w:ascii="仿宋" w:hAnsi="仿宋" w:eastAsia="仿宋" w:cs="仿宋"/>
          <w:bCs/>
          <w:color w:val="000000"/>
          <w:sz w:val="32"/>
          <w:szCs w:val="32"/>
          <w:lang w:eastAsia="zh-Hans" w:bidi="ar"/>
        </w:rPr>
        <w:t>金融机构</w:t>
      </w:r>
      <w:r>
        <w:rPr>
          <w:rFonts w:hint="eastAsia" w:ascii="仿宋" w:hAnsi="仿宋" w:eastAsia="仿宋" w:cs="仿宋"/>
          <w:bCs/>
          <w:color w:val="000000"/>
          <w:sz w:val="32"/>
          <w:szCs w:val="32"/>
          <w:lang w:bidi="ar"/>
        </w:rPr>
        <w:t>的，</w:t>
      </w:r>
      <w:r>
        <w:rPr>
          <w:rFonts w:hint="eastAsia" w:ascii="仿宋" w:hAnsi="仿宋" w:eastAsia="仿宋" w:cs="仿宋"/>
          <w:sz w:val="32"/>
          <w:szCs w:val="32"/>
        </w:rPr>
        <w:t>票交所完成票据资金清算，并对票据作结清处理。资金</w:t>
      </w:r>
      <w:r>
        <w:rPr>
          <w:rFonts w:hint="eastAsia" w:ascii="仿宋" w:hAnsi="仿宋" w:eastAsia="仿宋" w:cs="仿宋"/>
          <w:sz w:val="32"/>
          <w:szCs w:val="32"/>
          <w:lang w:eastAsia="zh-Hans"/>
        </w:rPr>
        <w:t>清</w:t>
      </w:r>
      <w:r>
        <w:rPr>
          <w:rFonts w:hint="eastAsia" w:ascii="仿宋" w:hAnsi="仿宋" w:eastAsia="仿宋" w:cs="仿宋"/>
          <w:sz w:val="32"/>
          <w:szCs w:val="32"/>
        </w:rPr>
        <w:t>算失败的，票交所处理为拒</w:t>
      </w:r>
      <w:r>
        <w:rPr>
          <w:rFonts w:hint="eastAsia" w:ascii="仿宋" w:hAnsi="仿宋" w:eastAsia="仿宋" w:cs="仿宋"/>
          <w:sz w:val="32"/>
          <w:szCs w:val="32"/>
          <w:lang w:eastAsia="zh-Hans"/>
        </w:rPr>
        <w:t>绝</w:t>
      </w:r>
      <w:r>
        <w:rPr>
          <w:rFonts w:hint="eastAsia" w:ascii="仿宋" w:hAnsi="仿宋" w:eastAsia="仿宋" w:cs="仿宋"/>
          <w:sz w:val="32"/>
          <w:szCs w:val="32"/>
        </w:rPr>
        <w:t>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eastAsia="zh-Hans" w:bidi="ar"/>
        </w:rPr>
        <w:t>（</w:t>
      </w:r>
      <w:r>
        <w:rPr>
          <w:rFonts w:ascii="仿宋" w:hAnsi="仿宋" w:eastAsia="仿宋" w:cs="仿宋"/>
          <w:bCs/>
          <w:color w:val="000000"/>
          <w:sz w:val="32"/>
          <w:szCs w:val="32"/>
          <w:lang w:eastAsia="zh-Hans" w:bidi="ar"/>
        </w:rPr>
        <w:t>2</w:t>
      </w:r>
      <w:r>
        <w:rPr>
          <w:rFonts w:hint="eastAsia" w:ascii="仿宋" w:hAnsi="仿宋" w:eastAsia="仿宋" w:cs="仿宋"/>
          <w:bCs/>
          <w:color w:val="000000"/>
          <w:sz w:val="32"/>
          <w:szCs w:val="32"/>
          <w:lang w:eastAsia="zh-Hans" w:bidi="ar"/>
        </w:rPr>
        <w:t>）</w:t>
      </w:r>
      <w:r>
        <w:rPr>
          <w:rFonts w:hint="eastAsia" w:ascii="仿宋" w:hAnsi="仿宋" w:eastAsia="仿宋" w:cs="仿宋"/>
          <w:bCs/>
          <w:color w:val="000000"/>
          <w:sz w:val="32"/>
          <w:szCs w:val="32"/>
          <w:lang w:bidi="ar"/>
        </w:rPr>
        <w:t>参与者服务机构为供应链平台的，票交所向承兑人的结算账户开户行发送扣款确认申请。扣款确认申请的相关流程和规则详见本指南第“7.1.4</w:t>
      </w:r>
      <w:r>
        <w:rPr>
          <w:rFonts w:hint="eastAsia" w:ascii="仿宋" w:hAnsi="仿宋" w:eastAsia="仿宋" w:cs="仿宋"/>
          <w:bCs/>
          <w:color w:val="000000"/>
          <w:sz w:val="32"/>
          <w:szCs w:val="32"/>
          <w:lang w:val="en-US" w:eastAsia="zh-CN" w:bidi="ar"/>
        </w:rPr>
        <w:t xml:space="preserve"> 结算扣款确认</w:t>
      </w:r>
      <w:r>
        <w:rPr>
          <w:rFonts w:hint="eastAsia" w:ascii="仿宋" w:hAnsi="仿宋" w:eastAsia="仿宋" w:cs="仿宋"/>
          <w:bCs/>
          <w:color w:val="000000"/>
          <w:sz w:val="32"/>
          <w:szCs w:val="32"/>
          <w:lang w:bidi="ar"/>
        </w:rPr>
        <w:t>”章节。</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7.</w:t>
      </w:r>
      <w:r>
        <w:rPr>
          <w:rFonts w:hint="eastAsia" w:ascii="仿宋" w:hAnsi="仿宋" w:eastAsia="仿宋" w:cs="仿宋"/>
          <w:bCs/>
          <w:color w:val="000000"/>
          <w:sz w:val="32"/>
          <w:szCs w:val="32"/>
          <w:lang w:bidi="ar"/>
        </w:rPr>
        <w:t>持票人通过参与者服务机构客户终端，</w:t>
      </w:r>
      <w:r>
        <w:rPr>
          <w:rFonts w:hint="eastAsia" w:ascii="仿宋" w:hAnsi="仿宋" w:eastAsia="仿宋" w:cs="仿宋"/>
          <w:sz w:val="32"/>
          <w:szCs w:val="32"/>
        </w:rPr>
        <w:t>查看票交所转发的</w:t>
      </w:r>
      <w:r>
        <w:rPr>
          <w:rFonts w:hint="eastAsia" w:ascii="仿宋" w:hAnsi="仿宋" w:eastAsia="仿宋" w:cs="仿宋"/>
          <w:bCs/>
          <w:color w:val="000000"/>
          <w:sz w:val="32"/>
          <w:szCs w:val="32"/>
          <w:lang w:bidi="ar"/>
        </w:rPr>
        <w:t>提示付款业务处理结果。</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rPr>
      </w:pPr>
      <w:bookmarkStart w:id="1759" w:name="_Toc25647"/>
      <w:bookmarkStart w:id="1760" w:name="_Toc28991"/>
      <w:bookmarkStart w:id="1761" w:name="_Toc1338792374"/>
      <w:bookmarkStart w:id="1762" w:name="_Toc19155"/>
      <w:bookmarkStart w:id="1763" w:name="_Toc29828"/>
      <w:bookmarkStart w:id="1764" w:name="_Toc16336"/>
      <w:bookmarkStart w:id="1765" w:name="_Toc14861"/>
      <w:bookmarkStart w:id="1766" w:name="_Toc5948"/>
      <w:bookmarkStart w:id="1767" w:name="_Toc8850"/>
      <w:bookmarkStart w:id="1768" w:name="_Toc4885"/>
      <w:bookmarkStart w:id="1769" w:name="_Toc12739"/>
      <w:bookmarkStart w:id="1770" w:name="_Toc18896"/>
      <w:bookmarkStart w:id="1771" w:name="_Toc16098"/>
      <w:bookmarkStart w:id="1772" w:name="_Toc817"/>
      <w:r>
        <w:rPr>
          <w:rFonts w:hint="eastAsia" w:ascii="仿宋" w:hAnsi="仿宋" w:eastAsia="仿宋" w:cs="仿宋"/>
          <w:b/>
          <w:sz w:val="32"/>
          <w:szCs w:val="32"/>
        </w:rPr>
        <w:t>7.1.3期后提示付款</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Pr>
          <w:rFonts w:hint="eastAsia" w:ascii="仿宋" w:hAnsi="仿宋" w:eastAsia="仿宋" w:cs="仿宋"/>
          <w:b/>
          <w:sz w:val="32"/>
          <w:szCs w:val="32"/>
        </w:rPr>
        <w:t xml:space="preserve"> </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1.到期提示付款</w:t>
      </w:r>
      <w:r>
        <w:rPr>
          <w:rFonts w:hint="eastAsia" w:ascii="仿宋" w:hAnsi="仿宋" w:eastAsia="仿宋" w:cs="仿宋"/>
          <w:bCs/>
          <w:color w:val="000000"/>
          <w:sz w:val="32"/>
          <w:szCs w:val="32"/>
          <w:lang w:eastAsia="zh-Hans" w:bidi="ar"/>
        </w:rPr>
        <w:t>被拒付的</w:t>
      </w:r>
      <w:r>
        <w:rPr>
          <w:rFonts w:hint="eastAsia" w:ascii="仿宋" w:hAnsi="仿宋" w:eastAsia="仿宋" w:cs="仿宋"/>
          <w:bCs/>
          <w:color w:val="000000"/>
          <w:sz w:val="32"/>
          <w:szCs w:val="32"/>
          <w:lang w:bidi="ar"/>
        </w:rPr>
        <w:t>，持票人（或已质押未解除的质权人）可于到期日后再次发起提示付款申请，向承兑人请求付款，即期后提示付款。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color w:val="000000"/>
          <w:sz w:val="32"/>
        </w:rPr>
        <w:t>2</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提示付款申请金额等于持票人持有票据（包）金额，子票区间与持有票据（包）的子票区间一致。</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结算方式应为“线上清算”。</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持票人应</w:t>
      </w:r>
      <w:r>
        <w:rPr>
          <w:rFonts w:hint="eastAsia" w:ascii="仿宋" w:hAnsi="仿宋" w:eastAsia="仿宋" w:cs="仿宋"/>
          <w:sz w:val="32"/>
          <w:szCs w:val="32"/>
        </w:rPr>
        <w:t>在营业日的业务时序和清算结算业务时序结束前发起期后提示付款申请</w:t>
      </w:r>
      <w:r>
        <w:rPr>
          <w:rFonts w:hint="eastAsia" w:ascii="仿宋" w:hAnsi="仿宋" w:eastAsia="仿宋" w:cs="仿宋"/>
          <w:bCs/>
          <w:color w:val="000000"/>
          <w:sz w:val="32"/>
          <w:szCs w:val="32"/>
          <w:lang w:bidi="ar"/>
        </w:rPr>
        <w:t>。</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持票人（或已质押未解除的质权人）通过参与者服务机构客户终端，选择要提示付款的票据，</w:t>
      </w:r>
      <w:r>
        <w:rPr>
          <w:rFonts w:ascii="仿宋" w:hAnsi="仿宋" w:eastAsia="仿宋" w:cs="仿宋"/>
          <w:bCs/>
          <w:color w:val="000000"/>
          <w:sz w:val="32"/>
          <w:szCs w:val="32"/>
          <w:lang w:bidi="ar"/>
        </w:rPr>
        <w:t>发起</w:t>
      </w:r>
      <w:r>
        <w:rPr>
          <w:rFonts w:hint="eastAsia" w:ascii="仿宋" w:hAnsi="仿宋" w:eastAsia="仿宋" w:cs="仿宋"/>
          <w:bCs/>
          <w:color w:val="000000"/>
          <w:sz w:val="32"/>
          <w:szCs w:val="32"/>
          <w:lang w:bidi="ar"/>
        </w:rPr>
        <w:t>提示付款</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hint="eastAsia" w:ascii="仿宋" w:hAnsi="仿宋" w:eastAsia="仿宋" w:cs="仿宋"/>
          <w:sz w:val="32"/>
          <w:szCs w:val="32"/>
        </w:rPr>
        <w:t>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（4）业务申请日期、业务种类（“提示付款”）、业务批次号；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（6）结算方式（“线上清算”）、清算类型（“全额清算”）、结算日期、结算金额；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（7）申请人的入账账户名称、账号、开户行的参与者代码；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（8）承接机构与被承接机构的参与者代码（申请人要素信息中的账户开户机构发生承接的）。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持票人的参与者服务机构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，并向持票人提示业务申请的处理结果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sz w:val="32"/>
          <w:szCs w:val="32"/>
        </w:rPr>
        <w:t>3</w:t>
      </w:r>
      <w:r>
        <w:rPr>
          <w:rFonts w:hint="eastAsia" w:ascii="仿宋" w:hAnsi="仿宋" w:eastAsia="仿宋" w:cs="仿宋"/>
          <w:sz w:val="32"/>
          <w:szCs w:val="32"/>
        </w:rPr>
        <w:t>.申请发起当日日终前，申请人可以撤销待应答的提示付款申请。</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4.</w:t>
      </w:r>
      <w:r>
        <w:rPr>
          <w:rFonts w:hint="eastAsia" w:ascii="仿宋" w:hAnsi="仿宋" w:eastAsia="仿宋" w:cs="仿宋"/>
          <w:bCs/>
          <w:color w:val="000000"/>
          <w:sz w:val="32"/>
          <w:szCs w:val="32"/>
          <w:lang w:eastAsia="zh-Hans" w:bidi="ar"/>
        </w:rPr>
        <w:t>对于</w:t>
      </w:r>
      <w:r>
        <w:rPr>
          <w:rFonts w:hint="eastAsia" w:ascii="仿宋" w:hAnsi="仿宋" w:eastAsia="仿宋" w:cs="仿宋"/>
          <w:bCs/>
          <w:color w:val="000000"/>
          <w:sz w:val="32"/>
          <w:szCs w:val="32"/>
          <w:lang w:bidi="ar"/>
        </w:rPr>
        <w:t>未登记冻结或止付信息</w:t>
      </w:r>
      <w:r>
        <w:rPr>
          <w:rFonts w:hint="eastAsia" w:ascii="仿宋" w:hAnsi="仿宋" w:eastAsia="仿宋" w:cs="仿宋"/>
          <w:bCs/>
          <w:color w:val="000000"/>
          <w:sz w:val="32"/>
          <w:szCs w:val="32"/>
          <w:lang w:eastAsia="zh-Hans" w:bidi="ar"/>
        </w:rPr>
        <w:t>的</w:t>
      </w:r>
      <w:r>
        <w:rPr>
          <w:rFonts w:hint="eastAsia" w:ascii="仿宋" w:hAnsi="仿宋" w:eastAsia="仿宋" w:cs="仿宋"/>
          <w:bCs/>
          <w:color w:val="000000"/>
          <w:sz w:val="32"/>
          <w:szCs w:val="32"/>
          <w:lang w:bidi="ar"/>
        </w:rPr>
        <w:t>银票和财票（不含未付款确认的纸质银票和财票），票交所根据承兑人授权处理为应答同意。</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eastAsia="zh-Hans" w:bidi="ar"/>
        </w:rPr>
        <w:t>对于</w:t>
      </w:r>
      <w:r>
        <w:rPr>
          <w:rFonts w:hint="eastAsia" w:ascii="仿宋" w:hAnsi="仿宋" w:eastAsia="仿宋" w:cs="仿宋"/>
          <w:bCs/>
          <w:color w:val="000000"/>
          <w:sz w:val="32"/>
          <w:szCs w:val="32"/>
          <w:lang w:bidi="ar"/>
        </w:rPr>
        <w:t>商票、</w:t>
      </w:r>
      <w:r>
        <w:rPr>
          <w:rFonts w:hint="eastAsia" w:ascii="仿宋" w:hAnsi="仿宋" w:eastAsia="仿宋" w:cs="仿宋"/>
          <w:bCs/>
          <w:color w:val="000000"/>
          <w:sz w:val="32"/>
          <w:szCs w:val="32"/>
          <w:lang w:eastAsia="zh-Hans" w:bidi="ar"/>
        </w:rPr>
        <w:t>已</w:t>
      </w:r>
      <w:r>
        <w:rPr>
          <w:rFonts w:hint="eastAsia" w:ascii="仿宋" w:hAnsi="仿宋" w:eastAsia="仿宋" w:cs="仿宋"/>
          <w:bCs/>
          <w:color w:val="000000"/>
          <w:sz w:val="32"/>
          <w:szCs w:val="32"/>
          <w:lang w:bidi="ar"/>
        </w:rPr>
        <w:t>登记冻结或止付信息且未解除的银票和财票、</w:t>
      </w:r>
      <w:r>
        <w:rPr>
          <w:rFonts w:hint="eastAsia" w:ascii="仿宋" w:hAnsi="仿宋" w:eastAsia="仿宋" w:cs="仿宋"/>
          <w:bCs/>
          <w:color w:val="000000"/>
          <w:sz w:val="32"/>
          <w:szCs w:val="32"/>
          <w:lang w:eastAsia="zh-Hans" w:bidi="ar"/>
        </w:rPr>
        <w:t>未付款确认的纸质</w:t>
      </w:r>
      <w:r>
        <w:rPr>
          <w:rFonts w:hint="eastAsia" w:ascii="仿宋" w:hAnsi="仿宋" w:eastAsia="仿宋" w:cs="仿宋"/>
          <w:bCs/>
          <w:color w:val="000000"/>
          <w:sz w:val="32"/>
          <w:szCs w:val="32"/>
          <w:lang w:bidi="ar"/>
        </w:rPr>
        <w:t>银票和财票，承兑人的参与者服务机构收到票交所转发的申请，通知承兑人应答。</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6.承兑人通过参与者服务机构客户终端，对收到的提示付款申请进行应答（同意或拒绝）。</w:t>
      </w:r>
      <w:r>
        <w:rPr>
          <w:rFonts w:hint="eastAsia" w:ascii="仿宋" w:hAnsi="仿宋" w:eastAsia="仿宋" w:cs="仿宋"/>
          <w:sz w:val="32"/>
          <w:szCs w:val="32"/>
          <w:lang w:eastAsia="zh-Hans" w:bidi="ar"/>
        </w:rPr>
        <w:t>应答为拒绝付款的应同时说明拒付理由。</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其中，已登记冻结或止付信息且未解除的票据，只可应答为拒绝付款。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提示付款申请发起的当日日终，提示付款申请仍未获应答的，</w:t>
      </w:r>
      <w:r>
        <w:rPr>
          <w:rFonts w:hint="eastAsia" w:ascii="仿宋" w:hAnsi="仿宋" w:eastAsia="仿宋" w:cs="仿宋"/>
          <w:sz w:val="32"/>
          <w:szCs w:val="32"/>
          <w:lang w:bidi="ar"/>
        </w:rPr>
        <w:t>视同承兑人拒绝付款，</w:t>
      </w:r>
      <w:r>
        <w:rPr>
          <w:rFonts w:hint="eastAsia" w:ascii="仿宋" w:hAnsi="仿宋" w:eastAsia="仿宋" w:cs="仿宋"/>
          <w:bCs/>
          <w:color w:val="000000"/>
          <w:sz w:val="32"/>
          <w:szCs w:val="32"/>
          <w:lang w:bidi="ar"/>
        </w:rPr>
        <w:t>票交所</w:t>
      </w:r>
      <w:r>
        <w:rPr>
          <w:rFonts w:hint="eastAsia" w:ascii="仿宋" w:hAnsi="仿宋" w:eastAsia="仿宋" w:cs="仿宋"/>
          <w:bCs/>
          <w:color w:val="000000"/>
          <w:sz w:val="32"/>
          <w:szCs w:val="32"/>
          <w:lang w:eastAsia="zh-Hans" w:bidi="ar"/>
        </w:rPr>
        <w:t>处理为</w:t>
      </w:r>
      <w:r>
        <w:rPr>
          <w:rFonts w:hint="eastAsia" w:ascii="仿宋" w:hAnsi="仿宋" w:eastAsia="仿宋" w:cs="仿宋"/>
          <w:bCs/>
          <w:color w:val="000000"/>
          <w:sz w:val="32"/>
          <w:szCs w:val="32"/>
          <w:lang w:bidi="ar"/>
        </w:rPr>
        <w:t>拒绝付款。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7.商票承兑人的参与者服务机构应根据承兑人的授权，在协议约定的</w:t>
      </w:r>
      <w:r>
        <w:rPr>
          <w:rFonts w:hint="eastAsia" w:ascii="仿宋" w:hAnsi="仿宋" w:eastAsia="仿宋" w:cs="仿宋"/>
          <w:bCs/>
          <w:color w:val="000000"/>
          <w:sz w:val="32"/>
          <w:szCs w:val="32"/>
          <w:lang w:val="en-US" w:eastAsia="zh-CN" w:bidi="ar"/>
        </w:rPr>
        <w:t>合理</w:t>
      </w:r>
      <w:r>
        <w:rPr>
          <w:rFonts w:hint="eastAsia" w:ascii="仿宋" w:hAnsi="仿宋" w:eastAsia="仿宋" w:cs="仿宋"/>
          <w:bCs/>
          <w:color w:val="000000"/>
          <w:sz w:val="32"/>
          <w:szCs w:val="32"/>
          <w:lang w:bidi="ar"/>
        </w:rPr>
        <w:t xml:space="preserve">时点作以下处理： </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参与者服务机构为金融机构时，承兑人结算账户余额足够支付票款的，参与者服务机构应扣划承兑人账户资金，并代承兑人作出同意付款应答；承兑人结算账户余额不足以支付票款的，参与者服务机构应代承兑人作出拒绝付款应答。</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（2）参与者服务机构为供应链平台时，应代承兑人作出同意付款应答。</w:t>
      </w:r>
    </w:p>
    <w:p>
      <w:pPr>
        <w:spacing w:line="590" w:lineRule="exact"/>
        <w:ind w:firstLine="640" w:firstLineChars="200"/>
        <w:rPr>
          <w:rFonts w:ascii="仿宋" w:hAnsi="仿宋" w:eastAsia="仿宋" w:cs="仿宋"/>
          <w:bCs/>
          <w:color w:val="000000"/>
          <w:sz w:val="32"/>
          <w:szCs w:val="32"/>
          <w:lang w:eastAsia="zh-Hans" w:bidi="ar"/>
        </w:rPr>
      </w:pPr>
      <w:r>
        <w:rPr>
          <w:rFonts w:hint="eastAsia" w:ascii="仿宋" w:hAnsi="仿宋" w:eastAsia="仿宋" w:cs="仿宋"/>
          <w:bCs/>
          <w:color w:val="000000"/>
          <w:sz w:val="32"/>
          <w:szCs w:val="32"/>
          <w:lang w:bidi="ar"/>
        </w:rPr>
        <w:t>8</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eastAsia="zh-Hans" w:bidi="ar"/>
        </w:rPr>
        <w:t>承兑人应答为同意</w:t>
      </w:r>
      <w:r>
        <w:rPr>
          <w:rFonts w:hint="eastAsia" w:ascii="仿宋" w:hAnsi="仿宋" w:eastAsia="仿宋" w:cs="仿宋"/>
          <w:bCs/>
          <w:color w:val="000000"/>
          <w:sz w:val="32"/>
          <w:szCs w:val="32"/>
          <w:lang w:bidi="ar"/>
        </w:rPr>
        <w:t>付款</w:t>
      </w:r>
      <w:r>
        <w:rPr>
          <w:rFonts w:hint="eastAsia" w:ascii="仿宋" w:hAnsi="仿宋" w:eastAsia="仿宋" w:cs="仿宋"/>
          <w:bCs/>
          <w:color w:val="000000"/>
          <w:sz w:val="32"/>
          <w:szCs w:val="32"/>
          <w:lang w:eastAsia="zh-Hans" w:bidi="ar"/>
        </w:rPr>
        <w:t>的，作如下处理：</w:t>
      </w:r>
    </w:p>
    <w:p>
      <w:pPr>
        <w:spacing w:line="590" w:lineRule="exact"/>
        <w:ind w:firstLine="640" w:firstLineChars="200"/>
        <w:rPr>
          <w:rFonts w:ascii="仿宋" w:hAnsi="仿宋" w:eastAsia="仿宋" w:cs="仿宋"/>
          <w:bCs/>
          <w:color w:val="000000"/>
          <w:sz w:val="32"/>
          <w:szCs w:val="32"/>
          <w:lang w:eastAsia="zh-Hans" w:bidi="ar"/>
        </w:rPr>
      </w:pPr>
      <w:r>
        <w:rPr>
          <w:rFonts w:hint="eastAsia" w:ascii="仿宋" w:hAnsi="仿宋" w:eastAsia="仿宋" w:cs="仿宋"/>
          <w:bCs/>
          <w:color w:val="000000"/>
          <w:sz w:val="32"/>
          <w:szCs w:val="32"/>
          <w:lang w:eastAsia="zh-Hans" w:bidi="ar"/>
        </w:rPr>
        <w:t>（</w:t>
      </w:r>
      <w:r>
        <w:rPr>
          <w:rFonts w:ascii="仿宋" w:hAnsi="仿宋" w:eastAsia="仿宋" w:cs="仿宋"/>
          <w:bCs/>
          <w:color w:val="000000"/>
          <w:sz w:val="32"/>
          <w:szCs w:val="32"/>
          <w:lang w:eastAsia="zh-Hans" w:bidi="ar"/>
        </w:rPr>
        <w:t>1</w:t>
      </w:r>
      <w:r>
        <w:rPr>
          <w:rFonts w:hint="eastAsia" w:ascii="仿宋" w:hAnsi="仿宋" w:eastAsia="仿宋" w:cs="仿宋"/>
          <w:bCs/>
          <w:color w:val="000000"/>
          <w:sz w:val="32"/>
          <w:szCs w:val="32"/>
          <w:lang w:eastAsia="zh-Hans" w:bidi="ar"/>
        </w:rPr>
        <w:t>）</w:t>
      </w:r>
      <w:r>
        <w:rPr>
          <w:rFonts w:hint="eastAsia" w:ascii="仿宋" w:hAnsi="仿宋" w:eastAsia="仿宋" w:cs="仿宋"/>
          <w:bCs/>
          <w:color w:val="000000"/>
          <w:sz w:val="32"/>
          <w:szCs w:val="32"/>
          <w:lang w:bidi="ar"/>
        </w:rPr>
        <w:t>参与者服务机构为</w:t>
      </w:r>
      <w:r>
        <w:rPr>
          <w:rFonts w:hint="eastAsia" w:ascii="仿宋" w:hAnsi="仿宋" w:eastAsia="仿宋" w:cs="仿宋"/>
          <w:bCs/>
          <w:color w:val="000000"/>
          <w:sz w:val="32"/>
          <w:szCs w:val="32"/>
          <w:lang w:eastAsia="zh-Hans" w:bidi="ar"/>
        </w:rPr>
        <w:t>金融机构</w:t>
      </w:r>
      <w:r>
        <w:rPr>
          <w:rFonts w:hint="eastAsia" w:ascii="仿宋" w:hAnsi="仿宋" w:eastAsia="仿宋" w:cs="仿宋"/>
          <w:bCs/>
          <w:color w:val="000000"/>
          <w:sz w:val="32"/>
          <w:szCs w:val="32"/>
          <w:lang w:bidi="ar"/>
        </w:rPr>
        <w:t>的，</w:t>
      </w:r>
      <w:r>
        <w:rPr>
          <w:rFonts w:hint="eastAsia" w:ascii="仿宋" w:hAnsi="仿宋" w:eastAsia="仿宋" w:cs="仿宋"/>
          <w:sz w:val="32"/>
          <w:szCs w:val="32"/>
        </w:rPr>
        <w:t>票交所完成票据资金清算，并对票据作结清处理。资金</w:t>
      </w:r>
      <w:r>
        <w:rPr>
          <w:rFonts w:hint="eastAsia" w:ascii="仿宋" w:hAnsi="仿宋" w:eastAsia="仿宋" w:cs="仿宋"/>
          <w:sz w:val="32"/>
          <w:szCs w:val="32"/>
          <w:lang w:eastAsia="zh-Hans"/>
        </w:rPr>
        <w:t>清</w:t>
      </w:r>
      <w:r>
        <w:rPr>
          <w:rFonts w:hint="eastAsia" w:ascii="仿宋" w:hAnsi="仿宋" w:eastAsia="仿宋" w:cs="仿宋"/>
          <w:sz w:val="32"/>
          <w:szCs w:val="32"/>
        </w:rPr>
        <w:t>算失败的，票交所处理为拒</w:t>
      </w:r>
      <w:r>
        <w:rPr>
          <w:rFonts w:hint="eastAsia" w:ascii="仿宋" w:hAnsi="仿宋" w:eastAsia="仿宋" w:cs="仿宋"/>
          <w:sz w:val="32"/>
          <w:szCs w:val="32"/>
          <w:lang w:eastAsia="zh-Hans"/>
        </w:rPr>
        <w:t>绝</w:t>
      </w:r>
      <w:r>
        <w:rPr>
          <w:rFonts w:hint="eastAsia" w:ascii="仿宋" w:hAnsi="仿宋" w:eastAsia="仿宋" w:cs="仿宋"/>
          <w:sz w:val="32"/>
          <w:szCs w:val="32"/>
        </w:rPr>
        <w:t>付款。</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eastAsia="zh-Hans" w:bidi="ar"/>
        </w:rPr>
        <w:t>（</w:t>
      </w:r>
      <w:r>
        <w:rPr>
          <w:rFonts w:ascii="仿宋" w:hAnsi="仿宋" w:eastAsia="仿宋" w:cs="仿宋"/>
          <w:bCs/>
          <w:color w:val="000000"/>
          <w:sz w:val="32"/>
          <w:szCs w:val="32"/>
          <w:lang w:eastAsia="zh-Hans" w:bidi="ar"/>
        </w:rPr>
        <w:t>2</w:t>
      </w:r>
      <w:r>
        <w:rPr>
          <w:rFonts w:hint="eastAsia" w:ascii="仿宋" w:hAnsi="仿宋" w:eastAsia="仿宋" w:cs="仿宋"/>
          <w:bCs/>
          <w:color w:val="000000"/>
          <w:sz w:val="32"/>
          <w:szCs w:val="32"/>
          <w:lang w:eastAsia="zh-Hans" w:bidi="ar"/>
        </w:rPr>
        <w:t>）</w:t>
      </w:r>
      <w:r>
        <w:rPr>
          <w:rFonts w:hint="eastAsia" w:ascii="仿宋" w:hAnsi="仿宋" w:eastAsia="仿宋" w:cs="仿宋"/>
          <w:bCs/>
          <w:color w:val="000000"/>
          <w:sz w:val="32"/>
          <w:szCs w:val="32"/>
          <w:lang w:bidi="ar"/>
        </w:rPr>
        <w:t>参与者服务机构为供应链平台的，票交所向承兑人的结算账户开户行发送扣款确认申请。扣款确认申请的相关流程和规则详见本指南第“7.1.4</w:t>
      </w:r>
      <w:r>
        <w:rPr>
          <w:rFonts w:hint="eastAsia" w:ascii="仿宋" w:hAnsi="仿宋" w:eastAsia="仿宋" w:cs="仿宋"/>
          <w:bCs/>
          <w:color w:val="000000"/>
          <w:sz w:val="32"/>
          <w:szCs w:val="32"/>
          <w:lang w:val="en-US" w:eastAsia="zh-CN" w:bidi="ar"/>
        </w:rPr>
        <w:t xml:space="preserve"> 结算扣款确认</w:t>
      </w:r>
      <w:r>
        <w:rPr>
          <w:rFonts w:hint="eastAsia" w:ascii="仿宋" w:hAnsi="仿宋" w:eastAsia="仿宋" w:cs="仿宋"/>
          <w:bCs/>
          <w:color w:val="000000"/>
          <w:sz w:val="32"/>
          <w:szCs w:val="32"/>
          <w:lang w:bidi="ar"/>
        </w:rPr>
        <w:t>”章节。</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9.持票人通过参与者服务机构客户终端，</w:t>
      </w:r>
      <w:r>
        <w:rPr>
          <w:rFonts w:hint="eastAsia" w:ascii="仿宋" w:hAnsi="仿宋" w:eastAsia="仿宋" w:cs="仿宋"/>
          <w:sz w:val="32"/>
          <w:szCs w:val="32"/>
        </w:rPr>
        <w:t>查看票交所转发的</w:t>
      </w:r>
      <w:r>
        <w:rPr>
          <w:rFonts w:hint="eastAsia" w:ascii="仿宋" w:hAnsi="仿宋" w:eastAsia="仿宋" w:cs="仿宋"/>
          <w:bCs/>
          <w:color w:val="000000"/>
          <w:sz w:val="32"/>
          <w:szCs w:val="32"/>
          <w:lang w:bidi="ar"/>
        </w:rPr>
        <w:t>提示付款业务处理结果。</w:t>
      </w:r>
    </w:p>
    <w:p>
      <w:pPr>
        <w:spacing w:line="590" w:lineRule="exact"/>
        <w:ind w:firstLine="640" w:firstLineChars="200"/>
        <w:rPr>
          <w:rFonts w:ascii="仿宋" w:hAnsi="仿宋" w:eastAsia="仿宋" w:cs="仿宋"/>
          <w:bCs/>
          <w:color w:val="000000"/>
          <w:sz w:val="32"/>
          <w:szCs w:val="32"/>
          <w:lang w:bidi="ar"/>
        </w:rPr>
      </w:pPr>
    </w:p>
    <w:p>
      <w:pPr>
        <w:widowControl/>
        <w:spacing w:line="590" w:lineRule="exact"/>
        <w:ind w:firstLine="643" w:firstLineChars="200"/>
        <w:outlineLvl w:val="2"/>
        <w:rPr>
          <w:rFonts w:ascii="仿宋" w:hAnsi="仿宋" w:eastAsia="仿宋" w:cs="仿宋"/>
          <w:b/>
          <w:bCs/>
          <w:sz w:val="32"/>
          <w:szCs w:val="32"/>
          <w:lang w:bidi="ar"/>
        </w:rPr>
      </w:pPr>
      <w:bookmarkStart w:id="1773" w:name="_Toc27076"/>
      <w:bookmarkStart w:id="1774" w:name="_Toc24658"/>
      <w:bookmarkStart w:id="1775" w:name="_Toc20433"/>
      <w:bookmarkStart w:id="1776" w:name="_Toc11415"/>
      <w:bookmarkStart w:id="1777" w:name="_Toc15081"/>
      <w:bookmarkStart w:id="1778" w:name="_Toc16921"/>
      <w:bookmarkStart w:id="1779" w:name="_Toc6335"/>
      <w:bookmarkStart w:id="1780" w:name="_Toc18030"/>
      <w:bookmarkStart w:id="1781" w:name="_Toc18955"/>
      <w:bookmarkStart w:id="1782" w:name="_Toc1302376109"/>
      <w:bookmarkStart w:id="1783" w:name="_Toc26006"/>
      <w:bookmarkStart w:id="1784" w:name="_Toc22199"/>
      <w:bookmarkStart w:id="1785" w:name="_Toc25268"/>
      <w:bookmarkStart w:id="1786" w:name="_Toc14157"/>
      <w:r>
        <w:rPr>
          <w:rFonts w:hint="eastAsia" w:ascii="仿宋" w:hAnsi="仿宋" w:eastAsia="仿宋" w:cs="仿宋"/>
          <w:b/>
          <w:bCs/>
          <w:sz w:val="32"/>
          <w:szCs w:val="32"/>
          <w:lang w:bidi="ar"/>
        </w:rPr>
        <w:t>7.1.4 结算扣款确认</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企业等间接参与者通过供应链平台作出提示付款应答同意的，还应通过其结算账户开户行进行结算扣款确认应答，应答同意后，票交所进行资金清</w:t>
      </w:r>
      <w:r>
        <w:rPr>
          <w:rFonts w:hint="eastAsia" w:ascii="仿宋" w:hAnsi="仿宋" w:eastAsia="仿宋" w:cs="仿宋"/>
          <w:sz w:val="32"/>
          <w:szCs w:val="32"/>
          <w:lang w:eastAsia="zh-CN" w:bidi="ar"/>
        </w:rPr>
        <w:t>算</w:t>
      </w:r>
      <w:r>
        <w:rPr>
          <w:rFonts w:hint="eastAsia" w:ascii="仿宋" w:hAnsi="仿宋" w:eastAsia="仿宋" w:cs="仿宋"/>
          <w:sz w:val="32"/>
          <w:szCs w:val="32"/>
          <w:lang w:bidi="ar"/>
        </w:rPr>
        <w:t>结算。</w:t>
      </w:r>
    </w:p>
    <w:p>
      <w:pPr>
        <w:widowControl/>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[业务规则]</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1.承兑人通过供应链平台办理承兑的商票，到期提示付款业务办理时，承兑人已对结算扣款确认申请应答同意但结算失败的，持票人发起期后提示付款申请，承兑人仍需对结算扣款确认申请进行应答。</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2.结算扣款确认申请的付款人为承兑人，收款人为持票人</w:t>
      </w:r>
      <w:r>
        <w:rPr>
          <w:rFonts w:hint="eastAsia" w:ascii="仿宋" w:hAnsi="仿宋" w:eastAsia="仿宋" w:cs="仿宋"/>
          <w:bCs/>
          <w:color w:val="000000"/>
          <w:sz w:val="32"/>
          <w:szCs w:val="32"/>
          <w:lang w:bidi="ar"/>
        </w:rPr>
        <w:t>（或已质押未解除的质权人）</w:t>
      </w:r>
      <w:r>
        <w:rPr>
          <w:rFonts w:hint="eastAsia" w:ascii="仿宋" w:hAnsi="仿宋" w:eastAsia="仿宋" w:cs="仿宋"/>
          <w:sz w:val="32"/>
          <w:szCs w:val="32"/>
          <w:lang w:bidi="ar"/>
        </w:rPr>
        <w:t>。</w:t>
      </w:r>
    </w:p>
    <w:p>
      <w:pPr>
        <w:widowControl/>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lang w:bidi="ar"/>
        </w:rPr>
        <w:t>[业务流程]</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w:t>
      </w:r>
      <w:r>
        <w:rPr>
          <w:rFonts w:hint="eastAsia" w:ascii="仿宋" w:hAnsi="仿宋" w:eastAsia="仿宋" w:cs="仿宋"/>
          <w:bCs/>
          <w:color w:val="000000"/>
          <w:sz w:val="32"/>
          <w:szCs w:val="32"/>
          <w:lang w:bidi="ar"/>
        </w:rPr>
        <w:t>承兑人的参与者服务机构为供应链平台的，如承兑人应答为同意，票交所向承兑人的结算账户开户行发送扣款确认申请。</w:t>
      </w:r>
      <w:r>
        <w:rPr>
          <w:rFonts w:hint="eastAsia" w:ascii="仿宋" w:hAnsi="仿宋" w:eastAsia="仿宋" w:cs="仿宋"/>
          <w:sz w:val="32"/>
          <w:szCs w:val="32"/>
          <w:lang w:bidi="ar"/>
        </w:rPr>
        <w:t>申请中的要素信息包括：</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（1）付款人要素信息；</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（2）收款人要素信息；</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（3）业务申请日期、业务种类（“提示付款”）、业务批次号；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lang w:bidi="ar"/>
        </w:rPr>
        <w:t>（4）</w:t>
      </w:r>
      <w:r>
        <w:rPr>
          <w:rFonts w:hint="eastAsia" w:ascii="仿宋" w:hAnsi="仿宋" w:eastAsia="仿宋" w:cs="仿宋"/>
          <w:sz w:val="32"/>
          <w:szCs w:val="32"/>
        </w:rPr>
        <w:t>其他处理意见、备注；</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（5）票据（包）号码、子票区间、票据（包）金额、标准金额；</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rPr>
        <w:t>（6）结算方式（“线上清算”）、清算类型（“全额清算”）、结算日期、结算金额。</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2.结算账户开户行收到票交所发送的扣款确认申请，通知付款人即承兑人。</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lang w:bidi="ar"/>
        </w:rPr>
        <w:t>3.承兑人</w:t>
      </w:r>
      <w:r>
        <w:rPr>
          <w:rFonts w:hint="eastAsia" w:ascii="仿宋" w:hAnsi="仿宋" w:eastAsia="仿宋" w:cs="仿宋"/>
          <w:bCs/>
          <w:color w:val="000000"/>
          <w:sz w:val="32"/>
          <w:szCs w:val="32"/>
          <w:lang w:bidi="ar"/>
        </w:rPr>
        <w:t>对收到的扣款确认申请进行应答（同意或拒绝）。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其中，已登记冻结或止付信息且未解除的票据，只可应答为拒绝。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扣款确认申请发起的当日日终，扣款确认申请仍</w:t>
      </w:r>
      <w:r>
        <w:rPr>
          <w:rFonts w:ascii="仿宋" w:hAnsi="仿宋" w:eastAsia="仿宋" w:cs="仿宋"/>
          <w:bCs/>
          <w:sz w:val="32"/>
          <w:szCs w:val="32"/>
          <w:lang w:bidi="ar"/>
        </w:rPr>
        <w:t>未</w:t>
      </w:r>
      <w:r>
        <w:rPr>
          <w:rFonts w:hint="eastAsia" w:ascii="仿宋" w:hAnsi="仿宋" w:eastAsia="仿宋" w:cs="仿宋"/>
          <w:bCs/>
          <w:sz w:val="32"/>
          <w:szCs w:val="32"/>
          <w:lang w:bidi="ar"/>
        </w:rPr>
        <w:t>获</w:t>
      </w:r>
      <w:r>
        <w:rPr>
          <w:rFonts w:ascii="仿宋" w:hAnsi="仿宋" w:eastAsia="仿宋" w:cs="仿宋"/>
          <w:bCs/>
          <w:sz w:val="32"/>
          <w:szCs w:val="32"/>
          <w:lang w:bidi="ar"/>
        </w:rPr>
        <w:t>应答的</w:t>
      </w:r>
      <w:r>
        <w:rPr>
          <w:rFonts w:hint="eastAsia" w:ascii="仿宋" w:hAnsi="仿宋" w:eastAsia="仿宋" w:cs="仿宋"/>
          <w:bCs/>
          <w:sz w:val="32"/>
          <w:szCs w:val="32"/>
          <w:lang w:bidi="ar"/>
        </w:rPr>
        <w:t>，</w:t>
      </w:r>
      <w:r>
        <w:rPr>
          <w:rFonts w:hint="eastAsia" w:ascii="仿宋" w:hAnsi="仿宋" w:eastAsia="仿宋" w:cs="仿宋"/>
          <w:sz w:val="32"/>
          <w:szCs w:val="32"/>
          <w:lang w:bidi="ar"/>
        </w:rPr>
        <w:t>视同承兑人拒绝付款，</w:t>
      </w:r>
      <w:r>
        <w:rPr>
          <w:rFonts w:hint="eastAsia" w:ascii="仿宋" w:hAnsi="仿宋" w:eastAsia="仿宋" w:cs="仿宋"/>
          <w:bCs/>
          <w:sz w:val="32"/>
          <w:szCs w:val="32"/>
          <w:lang w:bidi="ar"/>
        </w:rPr>
        <w:t>票交所</w:t>
      </w:r>
      <w:r>
        <w:rPr>
          <w:rFonts w:ascii="仿宋" w:hAnsi="仿宋" w:eastAsia="仿宋" w:cs="仿宋"/>
          <w:bCs/>
          <w:sz w:val="32"/>
          <w:szCs w:val="32"/>
          <w:lang w:bidi="ar"/>
        </w:rPr>
        <w:t>处理</w:t>
      </w:r>
      <w:r>
        <w:rPr>
          <w:rFonts w:hint="eastAsia" w:ascii="仿宋" w:hAnsi="仿宋" w:eastAsia="仿宋" w:cs="仿宋"/>
          <w:bCs/>
          <w:sz w:val="32"/>
          <w:szCs w:val="32"/>
          <w:lang w:bidi="ar"/>
        </w:rPr>
        <w:t>为拒绝付款</w:t>
      </w:r>
      <w:r>
        <w:rPr>
          <w:rFonts w:hint="eastAsia" w:ascii="仿宋" w:hAnsi="仿宋" w:eastAsia="仿宋" w:cs="仿宋"/>
          <w:bCs/>
          <w:color w:val="000000"/>
          <w:sz w:val="32"/>
          <w:szCs w:val="32"/>
          <w:lang w:bidi="ar"/>
        </w:rPr>
        <w:t>。</w:t>
      </w:r>
    </w:p>
    <w:p>
      <w:pPr>
        <w:widowControl/>
        <w:spacing w:line="590" w:lineRule="exact"/>
        <w:ind w:firstLine="640" w:firstLineChars="200"/>
        <w:rPr>
          <w:rFonts w:ascii="仿宋" w:hAnsi="仿宋" w:eastAsia="仿宋" w:cs="仿宋"/>
          <w:sz w:val="32"/>
          <w:szCs w:val="32"/>
          <w:lang w:bidi="ar"/>
        </w:rPr>
      </w:pPr>
      <w:r>
        <w:rPr>
          <w:rFonts w:hint="eastAsia" w:ascii="仿宋" w:hAnsi="仿宋" w:eastAsia="仿宋" w:cs="仿宋"/>
          <w:bCs/>
          <w:color w:val="000000"/>
          <w:sz w:val="32"/>
          <w:szCs w:val="32"/>
          <w:lang w:bidi="ar"/>
        </w:rPr>
        <w:t>4</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结算账户开户行向票交所发送承兑人的应答结果，并向承兑人提示处理结果。</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5.</w:t>
      </w:r>
      <w:r>
        <w:rPr>
          <w:rFonts w:hint="eastAsia" w:ascii="仿宋" w:hAnsi="仿宋" w:eastAsia="仿宋" w:cs="仿宋"/>
          <w:sz w:val="32"/>
          <w:szCs w:val="32"/>
        </w:rPr>
        <w:t>承兑人对扣款确认申请应答为“同意”的，票交所完成票据资金清算，对票据权属作变更处理。资金</w:t>
      </w:r>
      <w:r>
        <w:rPr>
          <w:rFonts w:hint="eastAsia" w:ascii="仿宋" w:hAnsi="仿宋" w:eastAsia="仿宋" w:cs="仿宋"/>
          <w:sz w:val="32"/>
          <w:szCs w:val="32"/>
          <w:lang w:eastAsia="zh-Hans"/>
        </w:rPr>
        <w:t>清</w:t>
      </w:r>
      <w:r>
        <w:rPr>
          <w:rFonts w:hint="eastAsia" w:ascii="仿宋" w:hAnsi="仿宋" w:eastAsia="仿宋" w:cs="仿宋"/>
          <w:sz w:val="32"/>
          <w:szCs w:val="32"/>
        </w:rPr>
        <w:t>算失败的，票交所处理为拒</w:t>
      </w:r>
      <w:r>
        <w:rPr>
          <w:rFonts w:hint="eastAsia" w:ascii="仿宋" w:hAnsi="仿宋" w:eastAsia="仿宋" w:cs="仿宋"/>
          <w:sz w:val="32"/>
          <w:szCs w:val="32"/>
          <w:lang w:eastAsia="zh-Hans"/>
        </w:rPr>
        <w:t>绝</w:t>
      </w:r>
      <w:r>
        <w:rPr>
          <w:rFonts w:hint="eastAsia" w:ascii="仿宋" w:hAnsi="仿宋" w:eastAsia="仿宋" w:cs="仿宋"/>
          <w:sz w:val="32"/>
          <w:szCs w:val="32"/>
        </w:rPr>
        <w:t>付款。</w:t>
      </w:r>
    </w:p>
    <w:p>
      <w:pPr>
        <w:widowControl w:val="0"/>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6.提示付款申请人的参与者服务机构收到票交所发送的结算结果通知，通知提示付款申请人即持票人。</w:t>
      </w:r>
    </w:p>
    <w:p/>
    <w:p/>
    <w:p>
      <w:pPr>
        <w:spacing w:line="590" w:lineRule="exact"/>
        <w:ind w:firstLine="643" w:firstLineChars="200"/>
        <w:outlineLvl w:val="1"/>
        <w:rPr>
          <w:rFonts w:ascii="仿宋" w:hAnsi="仿宋" w:eastAsia="仿宋" w:cs="仿宋"/>
          <w:b/>
          <w:sz w:val="32"/>
          <w:szCs w:val="32"/>
        </w:rPr>
      </w:pPr>
      <w:bookmarkStart w:id="1787" w:name="_Toc23530"/>
      <w:bookmarkStart w:id="1788" w:name="_Toc1160339296"/>
      <w:bookmarkStart w:id="1789" w:name="_Toc2228"/>
      <w:bookmarkStart w:id="1790" w:name="_Toc16542"/>
      <w:bookmarkStart w:id="1791" w:name="_Toc12763"/>
      <w:bookmarkStart w:id="1792" w:name="_Toc7132"/>
      <w:bookmarkStart w:id="1793" w:name="_Toc19208"/>
      <w:bookmarkStart w:id="1794" w:name="_Toc3031"/>
      <w:bookmarkStart w:id="1795" w:name="_Toc28489"/>
      <w:bookmarkStart w:id="1796" w:name="_Toc17432"/>
      <w:bookmarkStart w:id="1797" w:name="_Toc4734"/>
      <w:bookmarkStart w:id="1798" w:name="_Toc13733"/>
      <w:bookmarkStart w:id="1799" w:name="_Toc19305"/>
      <w:bookmarkStart w:id="1800" w:name="_Toc11755"/>
      <w:r>
        <w:rPr>
          <w:rFonts w:hint="eastAsia" w:ascii="仿宋" w:hAnsi="仿宋" w:eastAsia="仿宋" w:cs="仿宋"/>
          <w:b/>
          <w:sz w:val="32"/>
          <w:szCs w:val="32"/>
        </w:rPr>
        <w:t>7.2 追索</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追索分为拒付追索和非拒付追索。</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拒付追索是指商业汇票到期后被拒绝付款，持票人请求前手付款的行为。</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非拒付追索是指存在下列情形之一，持票人请求前手付款的行为：</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（1）承兑人被依法宣告破产的；</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（2）承兑人因违法被责令终止业务活动的。</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numPr>
          <w:ilvl w:val="0"/>
          <w:numId w:val="28"/>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追索业务处理包括追索通知</w:t>
      </w:r>
      <w:r>
        <w:rPr>
          <w:rFonts w:hint="eastAsia" w:ascii="仿宋" w:hAnsi="仿宋" w:eastAsia="仿宋" w:cs="仿宋"/>
          <w:bCs/>
          <w:color w:val="000000"/>
          <w:sz w:val="32"/>
          <w:szCs w:val="32"/>
          <w:lang w:eastAsia="zh-Hans" w:bidi="ar"/>
        </w:rPr>
        <w:t>和</w:t>
      </w:r>
      <w:r>
        <w:rPr>
          <w:rFonts w:hint="eastAsia" w:ascii="仿宋" w:hAnsi="仿宋" w:eastAsia="仿宋" w:cs="仿宋"/>
          <w:bCs/>
          <w:color w:val="000000"/>
          <w:sz w:val="32"/>
          <w:szCs w:val="32"/>
          <w:lang w:bidi="ar"/>
        </w:rPr>
        <w:t>追索同意清偿</w:t>
      </w:r>
      <w:r>
        <w:rPr>
          <w:rFonts w:hint="eastAsia" w:ascii="仿宋" w:hAnsi="仿宋" w:eastAsia="仿宋" w:cs="仿宋"/>
          <w:bCs/>
          <w:color w:val="000000"/>
          <w:sz w:val="32"/>
          <w:szCs w:val="32"/>
          <w:lang w:eastAsia="zh-Hans" w:bidi="ar"/>
        </w:rPr>
        <w:t>两个业务子</w:t>
      </w:r>
      <w:r>
        <w:rPr>
          <w:rFonts w:hint="eastAsia" w:ascii="仿宋" w:hAnsi="仿宋" w:eastAsia="仿宋" w:cs="仿宋"/>
          <w:bCs/>
          <w:color w:val="000000"/>
          <w:sz w:val="32"/>
          <w:szCs w:val="32"/>
          <w:lang w:bidi="ar"/>
        </w:rPr>
        <w:t>流程。</w:t>
      </w:r>
    </w:p>
    <w:p>
      <w:pPr>
        <w:numPr>
          <w:ilvl w:val="0"/>
          <w:numId w:val="28"/>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持票人（或已质押未解除票据的质权人）在票据到期后发起提示付款被拒付的，可以发起拒付追索。提前提示付款被拒付的，不能发起拒付追索。</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bCs/>
          <w:color w:val="000000"/>
          <w:sz w:val="32"/>
          <w:szCs w:val="32"/>
          <w:lang w:bidi="ar"/>
        </w:rPr>
        <w:t>.持票人（或已质押未解除票据的质权人）可以在符合条件的情况下于票据到期日前发起非拒付追索。</w:t>
      </w:r>
    </w:p>
    <w:p>
      <w:pPr>
        <w:numPr>
          <w:ilvl w:val="255"/>
          <w:numId w:val="0"/>
        </w:numPr>
        <w:spacing w:line="590" w:lineRule="exact"/>
        <w:ind w:firstLine="640" w:firstLineChars="200"/>
        <w:rPr>
          <w:rFonts w:ascii="仿宋" w:hAnsi="仿宋" w:eastAsia="仿宋" w:cs="仿宋"/>
          <w:bCs/>
          <w:sz w:val="32"/>
          <w:szCs w:val="32"/>
          <w:lang w:bidi="ar"/>
        </w:rPr>
      </w:pPr>
      <w:r>
        <w:rPr>
          <w:rFonts w:ascii="仿宋" w:hAnsi="仿宋" w:eastAsia="仿宋" w:cs="仿宋"/>
          <w:bCs/>
          <w:color w:val="000000"/>
          <w:sz w:val="32"/>
          <w:szCs w:val="32"/>
          <w:lang w:bidi="ar"/>
        </w:rPr>
        <w:t>4</w:t>
      </w:r>
      <w:r>
        <w:rPr>
          <w:rFonts w:hint="eastAsia" w:ascii="仿宋" w:hAnsi="仿宋" w:eastAsia="仿宋" w:cs="仿宋"/>
          <w:bCs/>
          <w:sz w:val="32"/>
          <w:szCs w:val="32"/>
          <w:lang w:bidi="ar"/>
        </w:rPr>
        <w:t>.持票人行使追索权，请求被追索人支付票据自</w:t>
      </w:r>
      <w:r>
        <w:rPr>
          <w:rFonts w:hint="eastAsia" w:ascii="Times New Roman" w:hAnsi="Times New Roman"/>
        </w:rPr>
        <w:fldChar w:fldCharType="begin"/>
      </w:r>
      <w:r>
        <w:instrText xml:space="preserve"> HYPERLINK "http://www.cdhptxw.com/cdhp/dzcdhp/1662.html" \t "http://www.cdhptxw.com/pjxw/pjaj/_blank" </w:instrText>
      </w:r>
      <w:r>
        <w:rPr>
          <w:rFonts w:hint="eastAsia" w:ascii="Times New Roman" w:hAnsi="Times New Roman"/>
        </w:rPr>
        <w:fldChar w:fldCharType="separate"/>
      </w:r>
      <w:r>
        <w:rPr>
          <w:rFonts w:hint="eastAsia" w:ascii="仿宋" w:hAnsi="仿宋" w:eastAsia="仿宋" w:cs="仿宋"/>
          <w:bCs/>
          <w:sz w:val="32"/>
          <w:szCs w:val="32"/>
          <w:shd w:val="clear" w:color="auto" w:fill="FFFFFF"/>
        </w:rPr>
        <w:t>提示付款</w:t>
      </w:r>
      <w:r>
        <w:rPr>
          <w:rFonts w:hint="eastAsia" w:ascii="仿宋" w:hAnsi="仿宋" w:eastAsia="仿宋" w:cs="仿宋"/>
          <w:bCs/>
          <w:sz w:val="32"/>
          <w:szCs w:val="32"/>
          <w:shd w:val="clear" w:color="auto" w:fill="FFFFFF"/>
        </w:rPr>
        <w:fldChar w:fldCharType="end"/>
      </w:r>
      <w:r>
        <w:rPr>
          <w:rFonts w:hint="eastAsia" w:ascii="仿宋" w:hAnsi="仿宋" w:eastAsia="仿宋" w:cs="仿宋"/>
          <w:bCs/>
          <w:sz w:val="32"/>
          <w:szCs w:val="32"/>
          <w:lang w:bidi="ar"/>
        </w:rPr>
        <w:t>日起至清偿日止的利息的，追索人和被追索人通过线下方式自行协商处理。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5</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保证人可以向被保证人追索，但为同一票据债务人担保的多个保证人之间不得追索。</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6</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质权人不可被追索。</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贴现后持票人不可对除贴入人、贴现保证人（若有）及贴入人前手之外的其他前手发起追索。</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8</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已贴现票据的持票人向贴入人、贴现保证行发起追索的，无需被追索人发起追索同意清偿申请，由票交所自动按贴入人、贴现保证人（若有）的顺序办理追索以及追索资金的清</w:t>
      </w:r>
      <w:r>
        <w:rPr>
          <w:rFonts w:hint="eastAsia" w:ascii="仿宋" w:hAnsi="仿宋" w:eastAsia="仿宋" w:cs="仿宋"/>
          <w:bCs/>
          <w:color w:val="000000"/>
          <w:sz w:val="32"/>
          <w:szCs w:val="32"/>
          <w:lang w:eastAsia="zh-CN" w:bidi="ar"/>
        </w:rPr>
        <w:t>算</w:t>
      </w:r>
      <w:r>
        <w:rPr>
          <w:rFonts w:hint="eastAsia" w:ascii="仿宋" w:hAnsi="仿宋" w:eastAsia="仿宋" w:cs="仿宋"/>
          <w:bCs/>
          <w:color w:val="000000"/>
          <w:sz w:val="32"/>
          <w:szCs w:val="32"/>
          <w:lang w:bidi="ar"/>
        </w:rPr>
        <w:t>结算。</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9</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已贴现票据的持票人向贴入人、贴现保证行发起追索且追索清偿失败的，持票人可直接向贴入人各前手发起追索通知，由贴入人各前手发起追索同意清偿申请。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10.除出票人、承兑人以外的被追索人完成追索清偿后，清偿人可以向其前手发起再追索。</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再追索的追索类型（拒付追索、非拒付追索）应与首次追索的追索类型一致。</w:t>
      </w:r>
    </w:p>
    <w:p>
      <w:pPr>
        <w:numPr>
          <w:ilvl w:val="255"/>
          <w:numId w:val="0"/>
        </w:num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11.出票人、承兑人作为被追索人完成追偿清偿后，票据结清。</w:t>
      </w:r>
    </w:p>
    <w:p>
      <w:pPr>
        <w:spacing w:line="590" w:lineRule="exact"/>
        <w:ind w:firstLine="640" w:firstLineChars="200"/>
        <w:rPr>
          <w:rFonts w:ascii="仿宋" w:hAnsi="仿宋" w:eastAsia="仿宋" w:cs="仿宋"/>
          <w:sz w:val="32"/>
          <w:szCs w:val="32"/>
        </w:rPr>
      </w:pPr>
      <w:r>
        <w:rPr>
          <w:rFonts w:ascii="仿宋" w:hAnsi="仿宋" w:eastAsia="仿宋" w:cs="仿宋"/>
          <w:sz w:val="32"/>
          <w:szCs w:val="32"/>
        </w:rPr>
        <w:t>12</w:t>
      </w:r>
      <w:r>
        <w:rPr>
          <w:rFonts w:hint="eastAsia" w:ascii="仿宋" w:hAnsi="仿宋" w:eastAsia="仿宋" w:cs="仿宋"/>
          <w:sz w:val="32"/>
          <w:szCs w:val="32"/>
        </w:rPr>
        <w:t>.已冻结票据不可办理</w:t>
      </w:r>
      <w:r>
        <w:rPr>
          <w:rFonts w:hint="eastAsia" w:ascii="仿宋" w:hAnsi="仿宋" w:eastAsia="仿宋" w:cs="仿宋"/>
          <w:sz w:val="32"/>
          <w:szCs w:val="32"/>
          <w:lang w:eastAsia="zh-Hans"/>
        </w:rPr>
        <w:t>追索</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lang w:eastAsia="zh-Hans"/>
        </w:rPr>
      </w:pPr>
      <w:r>
        <w:rPr>
          <w:rFonts w:ascii="仿宋" w:hAnsi="仿宋" w:eastAsia="仿宋" w:cs="仿宋"/>
          <w:sz w:val="32"/>
          <w:szCs w:val="32"/>
        </w:rPr>
        <w:t>13.</w:t>
      </w:r>
      <w:r>
        <w:rPr>
          <w:rFonts w:hint="eastAsia" w:ascii="仿宋" w:hAnsi="仿宋" w:eastAsia="仿宋" w:cs="仿宋"/>
          <w:sz w:val="32"/>
          <w:szCs w:val="32"/>
          <w:lang w:eastAsia="zh-Hans"/>
        </w:rPr>
        <w:t>持票人对出票人、承兑人追索和再追索时效，自票据到期日起2年，且不短于持票人对其他前手的追索和再追索时效。</w:t>
      </w:r>
    </w:p>
    <w:p>
      <w:pPr>
        <w:spacing w:line="590" w:lineRule="exact"/>
        <w:ind w:firstLine="640" w:firstLineChars="200"/>
        <w:rPr>
          <w:rFonts w:ascii="仿宋" w:hAnsi="仿宋" w:eastAsia="仿宋" w:cs="仿宋"/>
          <w:sz w:val="32"/>
          <w:szCs w:val="32"/>
          <w:lang w:eastAsia="zh-Hans"/>
        </w:rPr>
      </w:pPr>
      <w:r>
        <w:rPr>
          <w:rFonts w:hint="eastAsia" w:ascii="仿宋" w:hAnsi="仿宋" w:eastAsia="仿宋" w:cs="仿宋"/>
          <w:sz w:val="32"/>
          <w:szCs w:val="32"/>
          <w:lang w:eastAsia="zh-Hans"/>
        </w:rPr>
        <w:t>持票人对其他前手的追索时效，自被拒绝付款之日起6 个月；持票人对其他前手的再追索时效，自清偿日或被提起诉讼之日起3个月。</w:t>
      </w:r>
    </w:p>
    <w:p>
      <w:pPr>
        <w:spacing w:line="590" w:lineRule="exact"/>
        <w:ind w:firstLine="640" w:firstLineChars="200"/>
        <w:rPr>
          <w:rFonts w:ascii="仿宋" w:hAnsi="仿宋" w:eastAsia="仿宋" w:cs="仿宋"/>
          <w:bCs/>
          <w:color w:val="000000"/>
          <w:sz w:val="32"/>
          <w:szCs w:val="32"/>
          <w:lang w:bidi="ar"/>
        </w:rPr>
      </w:pPr>
    </w:p>
    <w:p>
      <w:pPr>
        <w:spacing w:line="590" w:lineRule="exact"/>
        <w:ind w:firstLine="643" w:firstLineChars="200"/>
        <w:outlineLvl w:val="2"/>
        <w:rPr>
          <w:rFonts w:ascii="仿宋" w:hAnsi="仿宋" w:eastAsia="仿宋" w:cs="仿宋"/>
          <w:b/>
          <w:sz w:val="32"/>
          <w:szCs w:val="32"/>
          <w:lang w:bidi="ar"/>
        </w:rPr>
      </w:pPr>
      <w:bookmarkStart w:id="1801" w:name="_Toc13535"/>
      <w:bookmarkStart w:id="1802" w:name="_Toc21921"/>
      <w:bookmarkStart w:id="1803" w:name="_Toc21527"/>
      <w:bookmarkStart w:id="1804" w:name="_Toc3767"/>
      <w:bookmarkStart w:id="1805" w:name="_Toc29428"/>
      <w:bookmarkStart w:id="1806" w:name="_Toc1221870929"/>
      <w:bookmarkStart w:id="1807" w:name="_Toc30061"/>
      <w:bookmarkStart w:id="1808" w:name="_Toc20200"/>
      <w:bookmarkStart w:id="1809" w:name="_Toc16511"/>
      <w:bookmarkStart w:id="1810" w:name="_Toc1684"/>
      <w:bookmarkStart w:id="1811" w:name="_Toc7657"/>
      <w:bookmarkStart w:id="1812" w:name="_Toc18890"/>
      <w:bookmarkStart w:id="1813" w:name="_Toc2077"/>
      <w:bookmarkStart w:id="1814" w:name="_Toc1436"/>
      <w:r>
        <w:rPr>
          <w:rFonts w:hint="eastAsia" w:ascii="仿宋" w:hAnsi="仿宋" w:eastAsia="仿宋" w:cs="仿宋"/>
          <w:b/>
          <w:sz w:val="32"/>
          <w:szCs w:val="32"/>
          <w:lang w:bidi="ar"/>
        </w:rPr>
        <w:t>7.2.1 追索通知</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追索人可以向多个被追索人，依次一对一发出追索通知。</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2.追索通知金额等于持票人持有票据（包）金额，子票区间与持有票据（包）的子票区间一致。</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3.（首次发起的）非拒付追索的追索通知应在票据到期日前完成追索清偿，票据的票面到期日前一日日终仍未完成追索清偿的，票交所对追索通知做清退处理。</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追索人选择要追索的票据，</w:t>
      </w:r>
      <w:r>
        <w:rPr>
          <w:rFonts w:ascii="仿宋" w:hAnsi="仿宋" w:eastAsia="仿宋" w:cs="仿宋"/>
          <w:bCs/>
          <w:color w:val="000000"/>
          <w:sz w:val="32"/>
          <w:szCs w:val="32"/>
          <w:lang w:bidi="ar"/>
        </w:rPr>
        <w:t>发</w:t>
      </w:r>
      <w:r>
        <w:rPr>
          <w:rFonts w:hint="eastAsia" w:ascii="仿宋" w:hAnsi="仿宋" w:eastAsia="仿宋" w:cs="仿宋"/>
          <w:bCs/>
          <w:color w:val="000000"/>
          <w:sz w:val="32"/>
          <w:szCs w:val="32"/>
          <w:lang w:bidi="ar"/>
        </w:rPr>
        <w:t>起追索通知。</w:t>
      </w:r>
      <w:r>
        <w:rPr>
          <w:rFonts w:hint="eastAsia" w:ascii="仿宋" w:hAnsi="仿宋" w:eastAsia="仿宋" w:cs="仿宋"/>
          <w:sz w:val="32"/>
          <w:szCs w:val="32"/>
        </w:rPr>
        <w:t>需提供的要素信息</w:t>
      </w:r>
      <w:r>
        <w:rPr>
          <w:rFonts w:hint="eastAsia" w:ascii="仿宋" w:hAnsi="仿宋" w:eastAsia="仿宋" w:cs="仿宋"/>
          <w:bCs/>
          <w:color w:val="000000"/>
          <w:sz w:val="32"/>
          <w:szCs w:val="32"/>
          <w:lang w:bidi="ar"/>
        </w:rPr>
        <w:t>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（1）追索人要素信息；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（2）追索人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hint="eastAsia" w:ascii="仿宋" w:hAnsi="仿宋" w:eastAsia="仿宋" w:cs="仿宋"/>
          <w:sz w:val="32"/>
          <w:szCs w:val="32"/>
        </w:rPr>
        <w:t>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w:t>
      </w:r>
      <w:r>
        <w:rPr>
          <w:rFonts w:hint="eastAsia" w:ascii="仿宋" w:hAnsi="仿宋" w:eastAsia="仿宋" w:cs="仿宋"/>
          <w:sz w:val="32"/>
          <w:szCs w:val="32"/>
          <w:lang w:eastAsia="zh-CN"/>
        </w:rPr>
        <w:t>拒付</w:t>
      </w:r>
      <w:r>
        <w:rPr>
          <w:rFonts w:hint="eastAsia" w:ascii="仿宋" w:hAnsi="仿宋" w:eastAsia="仿宋" w:cs="仿宋"/>
          <w:sz w:val="32"/>
          <w:szCs w:val="32"/>
        </w:rPr>
        <w:t>追索”</w:t>
      </w:r>
      <w:r>
        <w:rPr>
          <w:rFonts w:hint="eastAsia" w:ascii="仿宋" w:hAnsi="仿宋" w:eastAsia="仿宋" w:cs="仿宋"/>
          <w:sz w:val="32"/>
          <w:szCs w:val="32"/>
          <w:lang w:eastAsia="zh-CN"/>
        </w:rPr>
        <w:t>、“非拒付追索”</w:t>
      </w:r>
      <w:r>
        <w:rPr>
          <w:rFonts w:hint="eastAsia" w:ascii="仿宋" w:hAnsi="仿宋" w:eastAsia="仿宋" w:cs="仿宋"/>
          <w:sz w:val="32"/>
          <w:szCs w:val="32"/>
        </w:rPr>
        <w:t>）、业务批次号；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（6）追索人（为企业等间接参与者时）的入账账户名称、账号、开户行的参与者代码；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（7）被追索人要素信息；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（8）承接机构与被承接机构的参与者代码（追索人为企业等间接参与者时，要素信息中的账户开户机构发生承接的）；</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（9）承接机构与被承接机构的参与者代码（被追索人为企业等间接参与者时，要素信息中的账户开户机构发生承接的）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（10）附件类型、附件批次号等法院法律文书或行政处罚决定等具有拒绝证明效力文件的附件信息。</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追索人的参与者服务机构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发送追索通知信息，并向追索人提示处理结果。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被追索人的参与者服务机构收到票交所转发的通知信息，通知被追索人。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被追索人发起追索同意清偿申请前，追索人可以撤销追索通知。如追索人在票据到期前发起非拒付追索的追索通知，追索人可在票据的票面到期日前（不含到期日）且被追索人未发起追索同意清偿申请前，撤销追索通知。</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lang w:bidi="ar"/>
        </w:rPr>
      </w:pPr>
      <w:bookmarkStart w:id="1815" w:name="_Toc16497"/>
      <w:bookmarkStart w:id="1816" w:name="_Toc17450"/>
      <w:bookmarkStart w:id="1817" w:name="_Toc24490"/>
      <w:bookmarkStart w:id="1818" w:name="_Toc23826"/>
      <w:bookmarkStart w:id="1819" w:name="_Toc639"/>
      <w:bookmarkStart w:id="1820" w:name="_Toc916"/>
      <w:bookmarkStart w:id="1821" w:name="_Toc14162"/>
      <w:bookmarkStart w:id="1822" w:name="_Toc32145"/>
      <w:bookmarkStart w:id="1823" w:name="_Toc17644"/>
      <w:bookmarkStart w:id="1824" w:name="_Toc1341495165"/>
      <w:bookmarkStart w:id="1825" w:name="_Toc5047"/>
      <w:bookmarkStart w:id="1826" w:name="_Toc16338"/>
      <w:bookmarkStart w:id="1827" w:name="_Toc28943"/>
      <w:bookmarkStart w:id="1828" w:name="_Toc26746"/>
      <w:r>
        <w:rPr>
          <w:rFonts w:hint="eastAsia" w:ascii="仿宋" w:hAnsi="仿宋" w:eastAsia="仿宋" w:cs="仿宋"/>
          <w:b/>
          <w:sz w:val="32"/>
          <w:szCs w:val="32"/>
          <w:lang w:bidi="ar"/>
        </w:rPr>
        <w:t>7.2.2 追索</w:t>
      </w:r>
      <w:r>
        <w:rPr>
          <w:rFonts w:hint="eastAsia" w:ascii="仿宋" w:hAnsi="仿宋" w:eastAsia="仿宋" w:cs="仿宋"/>
          <w:b/>
          <w:sz w:val="32"/>
          <w:szCs w:val="32"/>
          <w:lang w:eastAsia="zh-Hans" w:bidi="ar"/>
        </w:rPr>
        <w:t>同意</w:t>
      </w:r>
      <w:r>
        <w:rPr>
          <w:rFonts w:hint="eastAsia" w:ascii="仿宋" w:hAnsi="仿宋" w:eastAsia="仿宋" w:cs="仿宋"/>
          <w:b/>
          <w:sz w:val="32"/>
          <w:szCs w:val="32"/>
          <w:lang w:bidi="ar"/>
        </w:rPr>
        <w:t>清偿</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1.</w:t>
      </w:r>
      <w:r>
        <w:rPr>
          <w:rFonts w:hint="eastAsia" w:ascii="仿宋" w:hAnsi="仿宋" w:eastAsia="仿宋" w:cs="仿宋"/>
          <w:sz w:val="32"/>
          <w:szCs w:val="32"/>
        </w:rPr>
        <w:t>票据（包）可分包的，</w:t>
      </w:r>
      <w:r>
        <w:rPr>
          <w:rFonts w:hint="eastAsia" w:ascii="仿宋" w:hAnsi="仿宋" w:eastAsia="仿宋" w:cs="仿宋"/>
          <w:bCs/>
          <w:color w:val="000000"/>
          <w:sz w:val="32"/>
          <w:szCs w:val="32"/>
          <w:lang w:bidi="ar"/>
        </w:rPr>
        <w:t>追索同意清偿申请</w:t>
      </w:r>
      <w:r>
        <w:rPr>
          <w:rFonts w:ascii="仿宋" w:hAnsi="仿宋" w:eastAsia="仿宋" w:cs="仿宋"/>
          <w:bCs/>
          <w:color w:val="000000"/>
          <w:sz w:val="32"/>
          <w:szCs w:val="32"/>
          <w:lang w:bidi="ar"/>
        </w:rPr>
        <w:t>金额</w:t>
      </w:r>
      <w:r>
        <w:rPr>
          <w:rFonts w:hint="eastAsia" w:ascii="仿宋" w:hAnsi="仿宋" w:eastAsia="仿宋" w:cs="仿宋"/>
          <w:sz w:val="32"/>
          <w:szCs w:val="32"/>
        </w:rPr>
        <w:t>金额可以小于或等于追索人持有票据（包）金额</w:t>
      </w:r>
      <w:r>
        <w:rPr>
          <w:rFonts w:ascii="仿宋" w:hAnsi="仿宋" w:eastAsia="仿宋" w:cs="仿宋"/>
          <w:bCs/>
          <w:color w:val="000000"/>
          <w:sz w:val="32"/>
          <w:szCs w:val="32"/>
          <w:lang w:bidi="ar"/>
        </w:rPr>
        <w:t>，但应为标准金额的整数倍</w:t>
      </w:r>
      <w:r>
        <w:rPr>
          <w:rFonts w:hint="eastAsia" w:ascii="仿宋" w:hAnsi="仿宋" w:eastAsia="仿宋" w:cs="仿宋"/>
          <w:sz w:val="32"/>
          <w:szCs w:val="32"/>
        </w:rPr>
        <w:t>。</w:t>
      </w:r>
      <w:r>
        <w:rPr>
          <w:rFonts w:hint="eastAsia" w:ascii="仿宋" w:hAnsi="仿宋" w:eastAsia="仿宋" w:cs="仿宋"/>
          <w:bCs/>
          <w:color w:val="000000"/>
          <w:sz w:val="32"/>
          <w:szCs w:val="32"/>
          <w:lang w:bidi="ar"/>
        </w:rPr>
        <w:t>追索同意清偿申请的子票区间，应被包含于</w:t>
      </w:r>
      <w:r>
        <w:rPr>
          <w:rFonts w:hint="eastAsia" w:ascii="仿宋" w:hAnsi="仿宋" w:eastAsia="仿宋" w:cs="仿宋"/>
          <w:sz w:val="32"/>
          <w:szCs w:val="32"/>
        </w:rPr>
        <w:t>追索人</w:t>
      </w:r>
      <w:r>
        <w:rPr>
          <w:rFonts w:hint="eastAsia" w:ascii="仿宋" w:hAnsi="仿宋" w:eastAsia="仿宋" w:cs="仿宋"/>
          <w:bCs/>
          <w:color w:val="000000"/>
          <w:sz w:val="32"/>
          <w:szCs w:val="32"/>
          <w:lang w:bidi="ar"/>
        </w:rPr>
        <w:t>持有的票据（包）子票区间，且子票区间起始序号应与其持有子票区间相同。</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票据（包）不可分包的，</w:t>
      </w:r>
      <w:r>
        <w:rPr>
          <w:rFonts w:hint="eastAsia" w:ascii="仿宋" w:hAnsi="仿宋" w:eastAsia="仿宋" w:cs="仿宋"/>
          <w:bCs/>
          <w:color w:val="000000"/>
          <w:sz w:val="32"/>
          <w:szCs w:val="32"/>
          <w:lang w:bidi="ar"/>
        </w:rPr>
        <w:t>追索同意清偿申请</w:t>
      </w:r>
      <w:r>
        <w:rPr>
          <w:rFonts w:hint="eastAsia" w:ascii="仿宋" w:hAnsi="仿宋" w:eastAsia="仿宋" w:cs="仿宋"/>
          <w:sz w:val="32"/>
          <w:szCs w:val="32"/>
        </w:rPr>
        <w:t>金额应等于追索人持有票据（包）金额。</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2.</w:t>
      </w:r>
      <w:r>
        <w:rPr>
          <w:rFonts w:hint="eastAsia" w:ascii="仿宋" w:hAnsi="仿宋" w:eastAsia="仿宋" w:cs="仿宋"/>
          <w:sz w:val="32"/>
          <w:szCs w:val="32"/>
        </w:rPr>
        <w:t>采用线上清算方式的，仅可在营业日的业务时序和清算结算业务时序结束前</w:t>
      </w:r>
      <w:r>
        <w:rPr>
          <w:rFonts w:hint="eastAsia" w:ascii="仿宋" w:hAnsi="仿宋" w:eastAsia="仿宋" w:cs="仿宋"/>
          <w:bCs/>
          <w:color w:val="000000"/>
          <w:sz w:val="32"/>
          <w:szCs w:val="32"/>
          <w:lang w:bidi="ar"/>
        </w:rPr>
        <w:t>发出追索</w:t>
      </w:r>
      <w:r>
        <w:rPr>
          <w:rFonts w:hint="eastAsia" w:ascii="仿宋" w:hAnsi="仿宋" w:eastAsia="仿宋" w:cs="仿宋"/>
          <w:bCs/>
          <w:color w:val="000000"/>
          <w:sz w:val="32"/>
          <w:szCs w:val="32"/>
          <w:lang w:eastAsia="zh-Hans" w:bidi="ar"/>
        </w:rPr>
        <w:t>同意清偿申请</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采用线下清算方式的，可在营业日或节假日的业务时序内</w:t>
      </w:r>
      <w:r>
        <w:rPr>
          <w:rFonts w:hint="eastAsia" w:ascii="仿宋" w:hAnsi="仿宋" w:eastAsia="仿宋" w:cs="仿宋"/>
          <w:bCs/>
          <w:color w:val="000000"/>
          <w:sz w:val="32"/>
          <w:szCs w:val="32"/>
          <w:lang w:bidi="ar"/>
        </w:rPr>
        <w:t>发出追索</w:t>
      </w:r>
      <w:r>
        <w:rPr>
          <w:rFonts w:hint="eastAsia" w:ascii="仿宋" w:hAnsi="仿宋" w:eastAsia="仿宋" w:cs="仿宋"/>
          <w:bCs/>
          <w:color w:val="000000"/>
          <w:sz w:val="32"/>
          <w:szCs w:val="32"/>
          <w:lang w:eastAsia="zh-Hans" w:bidi="ar"/>
        </w:rPr>
        <w:t>同意清偿申请</w:t>
      </w:r>
      <w:r>
        <w:rPr>
          <w:rFonts w:hint="eastAsia"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3</w:t>
      </w:r>
      <w:r>
        <w:rPr>
          <w:rFonts w:hint="eastAsia" w:ascii="仿宋" w:hAnsi="仿宋" w:eastAsia="仿宋" w:cs="仿宋"/>
          <w:bCs/>
          <w:color w:val="000000"/>
          <w:sz w:val="32"/>
          <w:szCs w:val="32"/>
          <w:lang w:bidi="ar"/>
        </w:rPr>
        <w:t>.追索同意清偿申请日日终，追索人仍未对结算方式为“线上清算”的追索同意清偿申请作出应答的，票交所自动对追索同意清偿申请做清退处理。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（首次发起的）结算方式为“线下清算”的非拒付追索</w:t>
      </w:r>
      <w:r>
        <w:rPr>
          <w:rFonts w:hint="eastAsia" w:ascii="仿宋" w:hAnsi="仿宋" w:eastAsia="仿宋" w:cs="仿宋"/>
          <w:bCs/>
          <w:color w:val="000000"/>
          <w:sz w:val="32"/>
          <w:szCs w:val="32"/>
          <w:lang w:eastAsia="zh-Hans" w:bidi="ar"/>
        </w:rPr>
        <w:t>同意清偿申请，</w:t>
      </w:r>
      <w:r>
        <w:rPr>
          <w:rFonts w:hint="eastAsia" w:ascii="仿宋" w:hAnsi="仿宋" w:eastAsia="仿宋" w:cs="仿宋"/>
          <w:bCs/>
          <w:color w:val="000000"/>
          <w:sz w:val="32"/>
          <w:szCs w:val="32"/>
          <w:lang w:bidi="ar"/>
        </w:rPr>
        <w:t>票据的票面到期日前一日日终仍未完成追索清偿的，票交所对追索同意清偿申请做清退处理。</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1</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被追索人收到追索通知后，选择要清偿的票据，</w:t>
      </w:r>
      <w:r>
        <w:rPr>
          <w:rFonts w:ascii="仿宋" w:hAnsi="仿宋" w:eastAsia="仿宋" w:cs="仿宋"/>
          <w:bCs/>
          <w:color w:val="000000"/>
          <w:sz w:val="32"/>
          <w:szCs w:val="32"/>
          <w:lang w:bidi="ar"/>
        </w:rPr>
        <w:t>发</w:t>
      </w:r>
      <w:r>
        <w:rPr>
          <w:rFonts w:hint="eastAsia" w:ascii="仿宋" w:hAnsi="仿宋" w:eastAsia="仿宋" w:cs="仿宋"/>
          <w:bCs/>
          <w:color w:val="000000"/>
          <w:sz w:val="32"/>
          <w:szCs w:val="32"/>
          <w:lang w:bidi="ar"/>
        </w:rPr>
        <w:t>起追索同意清偿申请。</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（1）申请人要素信息；</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（2）申请人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（3）</w:t>
      </w:r>
      <w:r>
        <w:rPr>
          <w:rFonts w:hint="eastAsia" w:ascii="仿宋" w:hAnsi="仿宋" w:eastAsia="仿宋" w:cs="仿宋"/>
          <w:sz w:val="32"/>
          <w:szCs w:val="32"/>
        </w:rPr>
        <w:t>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（4）业务申请日期、业务种类（“追索同意清偿申请”）、业务批次号；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（5）其他处理意见、备注；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（6）结算方式（“线上清算”、“线下清算”）、清算类型（“全额清算”）、结算日期、结算金额；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（7）申请人的出账账户名称、账号、开户行的参与者代码；</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（8）承接机构与被承接机构的参与者代码（申请人要素信息中的账户开户机构发生承接的）。</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bCs/>
          <w:color w:val="000000"/>
          <w:sz w:val="32"/>
          <w:szCs w:val="32"/>
          <w:lang w:bidi="ar"/>
        </w:rPr>
        <w:t>同意清偿申请人的参与者服务机构</w:t>
      </w:r>
      <w:r>
        <w:rPr>
          <w:rFonts w:ascii="仿宋" w:hAnsi="仿宋" w:eastAsia="仿宋" w:cs="仿宋"/>
          <w:bCs/>
          <w:color w:val="000000"/>
          <w:sz w:val="32"/>
          <w:szCs w:val="32"/>
          <w:lang w:bidi="ar"/>
        </w:rPr>
        <w:t>向票交所</w:t>
      </w:r>
      <w:r>
        <w:rPr>
          <w:rFonts w:hint="eastAsia" w:ascii="仿宋" w:hAnsi="仿宋" w:eastAsia="仿宋" w:cs="仿宋"/>
          <w:bCs/>
          <w:color w:val="000000"/>
          <w:sz w:val="32"/>
          <w:szCs w:val="32"/>
          <w:lang w:bidi="ar"/>
        </w:rPr>
        <w:t>发送</w:t>
      </w:r>
      <w:r>
        <w:rPr>
          <w:rFonts w:ascii="仿宋" w:hAnsi="仿宋" w:eastAsia="仿宋" w:cs="仿宋"/>
          <w:bCs/>
          <w:color w:val="000000"/>
          <w:sz w:val="32"/>
          <w:szCs w:val="32"/>
          <w:lang w:bidi="ar"/>
        </w:rPr>
        <w:t>申请</w:t>
      </w:r>
      <w:r>
        <w:rPr>
          <w:rFonts w:hint="eastAsia" w:ascii="仿宋" w:hAnsi="仿宋" w:eastAsia="仿宋" w:cs="仿宋"/>
          <w:bCs/>
          <w:color w:val="000000"/>
          <w:sz w:val="32"/>
          <w:szCs w:val="32"/>
          <w:lang w:bidi="ar"/>
        </w:rPr>
        <w:t>，并向同意清偿人提示业务申请的处理结果</w:t>
      </w:r>
      <w:r>
        <w:rPr>
          <w:rFonts w:ascii="仿宋" w:hAnsi="仿宋" w:eastAsia="仿宋" w:cs="仿宋"/>
          <w:bCs/>
          <w:color w:val="000000"/>
          <w:sz w:val="32"/>
          <w:szCs w:val="32"/>
          <w:lang w:bidi="ar"/>
        </w:rPr>
        <w:t>。</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w:t>
      </w:r>
      <w:r>
        <w:rPr>
          <w:rFonts w:hint="eastAsia" w:ascii="仿宋" w:hAnsi="仿宋" w:eastAsia="仿宋" w:cs="仿宋"/>
          <w:bCs/>
          <w:color w:val="000000"/>
          <w:sz w:val="32"/>
          <w:szCs w:val="32"/>
          <w:lang w:bidi="ar"/>
        </w:rPr>
        <w:t>追索人的参与者服务机构收到票交所转发的申请，通知追索人。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4.结算方式为线上清算的，申请发起当日日终前，申请人可以撤销待应答的追索同意清偿申请。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结算方式为线下清算的，同意清偿申请人可以在追索人应答前撤销追索同意清偿申请。如被追索人在票据到期前发起非拒付追索的追索同意清偿申请，同意清偿申请人可在票据的票面到期日前（不含到期日）且追索人应答前，撤销追索同意清偿申请。</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5.</w:t>
      </w:r>
      <w:r>
        <w:rPr>
          <w:rFonts w:hint="eastAsia" w:ascii="仿宋" w:hAnsi="仿宋" w:eastAsia="仿宋" w:cs="仿宋"/>
          <w:bCs/>
          <w:color w:val="000000"/>
          <w:sz w:val="32"/>
          <w:szCs w:val="32"/>
          <w:lang w:bidi="ar"/>
        </w:rPr>
        <w:t>追索人对同意清偿申请进行应答（同意或拒绝），追索人参与者服务机构向票交所发送追索人应答结果。</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追索人</w:t>
      </w:r>
      <w:r>
        <w:rPr>
          <w:rFonts w:hint="eastAsia" w:ascii="仿宋" w:hAnsi="仿宋" w:eastAsia="仿宋" w:cs="仿宋"/>
          <w:sz w:val="32"/>
          <w:szCs w:val="32"/>
        </w:rPr>
        <w:t>对追索同意清偿申请应答为“同意”的</w:t>
      </w:r>
      <w:r>
        <w:rPr>
          <w:rFonts w:hint="eastAsia" w:ascii="仿宋" w:hAnsi="仿宋" w:eastAsia="仿宋" w:cs="仿宋"/>
          <w:bCs/>
          <w:color w:val="000000"/>
          <w:sz w:val="32"/>
          <w:szCs w:val="32"/>
          <w:lang w:bidi="ar"/>
        </w:rPr>
        <w:t>，其他收到追索通知的被追索人无法发起追索同意清偿申请。</w:t>
      </w:r>
    </w:p>
    <w:p>
      <w:pPr>
        <w:spacing w:line="590" w:lineRule="exact"/>
        <w:ind w:firstLine="640" w:firstLineChars="200"/>
        <w:rPr>
          <w:rFonts w:ascii="仿宋" w:hAnsi="仿宋" w:eastAsia="仿宋" w:cs="仿宋"/>
          <w:sz w:val="32"/>
          <w:szCs w:val="32"/>
        </w:rPr>
      </w:pPr>
      <w:r>
        <w:rPr>
          <w:rFonts w:hint="eastAsia" w:ascii="仿宋" w:hAnsi="仿宋" w:eastAsia="仿宋" w:cs="仿宋"/>
          <w:bCs/>
          <w:color w:val="000000"/>
          <w:sz w:val="32"/>
          <w:szCs w:val="32"/>
          <w:lang w:bidi="ar"/>
        </w:rPr>
        <w:t>6.</w:t>
      </w:r>
      <w:r>
        <w:rPr>
          <w:rFonts w:hint="eastAsia" w:ascii="仿宋" w:hAnsi="仿宋" w:eastAsia="仿宋" w:cs="仿宋"/>
          <w:sz w:val="32"/>
          <w:szCs w:val="32"/>
        </w:rPr>
        <w:t>追索人对追索同意清偿申请应答为“同意”的，如结算方式为线上清算，票交所完成票据资金清</w:t>
      </w:r>
      <w:r>
        <w:rPr>
          <w:rFonts w:hint="eastAsia" w:ascii="仿宋" w:hAnsi="仿宋" w:eastAsia="仿宋" w:cs="仿宋"/>
          <w:sz w:val="32"/>
          <w:szCs w:val="32"/>
          <w:lang w:eastAsia="zh-CN"/>
        </w:rPr>
        <w:t>算</w:t>
      </w:r>
      <w:r>
        <w:rPr>
          <w:rFonts w:hint="eastAsia" w:ascii="仿宋" w:hAnsi="仿宋" w:eastAsia="仿宋" w:cs="仿宋"/>
          <w:sz w:val="32"/>
          <w:szCs w:val="32"/>
        </w:rPr>
        <w:t>结算，对票据权属作变更处理；资金</w:t>
      </w:r>
      <w:r>
        <w:rPr>
          <w:rFonts w:hint="eastAsia" w:ascii="仿宋" w:hAnsi="仿宋" w:eastAsia="仿宋" w:cs="仿宋"/>
          <w:sz w:val="32"/>
          <w:szCs w:val="32"/>
          <w:lang w:eastAsia="zh-Hans"/>
        </w:rPr>
        <w:t>清</w:t>
      </w:r>
      <w:r>
        <w:rPr>
          <w:rFonts w:hint="eastAsia" w:ascii="仿宋" w:hAnsi="仿宋" w:eastAsia="仿宋" w:cs="仿宋"/>
          <w:sz w:val="32"/>
          <w:szCs w:val="32"/>
          <w:lang w:eastAsia="zh-CN"/>
        </w:rPr>
        <w:t>算</w:t>
      </w:r>
      <w:r>
        <w:rPr>
          <w:rFonts w:hint="eastAsia" w:ascii="仿宋" w:hAnsi="仿宋" w:eastAsia="仿宋" w:cs="仿宋"/>
          <w:sz w:val="32"/>
          <w:szCs w:val="32"/>
        </w:rPr>
        <w:t>结算失败的，票交所处理为拒</w:t>
      </w:r>
      <w:r>
        <w:rPr>
          <w:rFonts w:hint="eastAsia" w:ascii="仿宋" w:hAnsi="仿宋" w:eastAsia="仿宋" w:cs="仿宋"/>
          <w:sz w:val="32"/>
          <w:szCs w:val="32"/>
          <w:lang w:eastAsia="zh-Hans"/>
        </w:rPr>
        <w:t>绝</w:t>
      </w:r>
      <w:r>
        <w:rPr>
          <w:rFonts w:hint="eastAsia" w:ascii="仿宋" w:hAnsi="仿宋" w:eastAsia="仿宋" w:cs="仿宋"/>
          <w:sz w:val="32"/>
          <w:szCs w:val="32"/>
        </w:rPr>
        <w:t>付款。</w:t>
      </w:r>
      <w:r>
        <w:rPr>
          <w:rFonts w:hint="eastAsia" w:ascii="仿宋" w:hAnsi="仿宋" w:eastAsia="仿宋" w:cs="仿宋"/>
          <w:sz w:val="32"/>
          <w:szCs w:val="32"/>
          <w:lang w:eastAsia="zh-Hans"/>
        </w:rPr>
        <w:t>如结算方式为</w:t>
      </w:r>
      <w:r>
        <w:rPr>
          <w:rFonts w:hint="eastAsia" w:ascii="仿宋" w:hAnsi="仿宋" w:eastAsia="仿宋" w:cs="仿宋"/>
          <w:sz w:val="32"/>
          <w:szCs w:val="32"/>
        </w:rPr>
        <w:t>线下清算，</w:t>
      </w:r>
      <w:r>
        <w:rPr>
          <w:rFonts w:hint="eastAsia" w:ascii="仿宋" w:hAnsi="仿宋" w:eastAsia="仿宋" w:cs="仿宋"/>
          <w:sz w:val="32"/>
          <w:szCs w:val="32"/>
          <w:lang w:eastAsia="zh-Hans"/>
        </w:rPr>
        <w:t>票交所对票据权属作变更处理。</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7.同意清偿申请人通过参与者服务机构客户终端，</w:t>
      </w:r>
      <w:r>
        <w:rPr>
          <w:rFonts w:hint="eastAsia" w:ascii="仿宋" w:hAnsi="仿宋" w:eastAsia="仿宋" w:cs="仿宋"/>
          <w:sz w:val="32"/>
          <w:szCs w:val="32"/>
        </w:rPr>
        <w:t>查看票交所转发的</w:t>
      </w:r>
      <w:r>
        <w:rPr>
          <w:rFonts w:hint="eastAsia" w:ascii="仿宋" w:hAnsi="仿宋" w:eastAsia="仿宋" w:cs="仿宋"/>
          <w:bCs/>
          <w:color w:val="000000"/>
          <w:sz w:val="32"/>
          <w:szCs w:val="32"/>
          <w:lang w:bidi="ar"/>
        </w:rPr>
        <w:t>追索同意清偿业务处理结果。</w:t>
      </w:r>
    </w:p>
    <w:p>
      <w:pPr>
        <w:spacing w:line="590" w:lineRule="exact"/>
        <w:ind w:firstLine="640" w:firstLineChars="200"/>
        <w:rPr>
          <w:rFonts w:hint="eastAsia" w:ascii="仿宋" w:hAnsi="仿宋" w:eastAsia="仿宋" w:cs="仿宋"/>
          <w:bCs/>
          <w:color w:val="000000"/>
          <w:sz w:val="32"/>
          <w:szCs w:val="32"/>
          <w:lang w:bidi="ar"/>
        </w:rPr>
      </w:pPr>
      <w:r>
        <w:rPr>
          <w:rFonts w:ascii="仿宋" w:hAnsi="仿宋" w:eastAsia="仿宋" w:cs="仿宋"/>
          <w:bCs/>
          <w:color w:val="000000"/>
          <w:sz w:val="32"/>
          <w:szCs w:val="32"/>
          <w:lang w:bidi="ar"/>
        </w:rPr>
        <w:t>8</w:t>
      </w:r>
      <w:r>
        <w:rPr>
          <w:rFonts w:hint="eastAsia" w:ascii="仿宋" w:hAnsi="仿宋" w:eastAsia="仿宋" w:cs="仿宋"/>
          <w:bCs/>
          <w:color w:val="000000"/>
          <w:sz w:val="32"/>
          <w:szCs w:val="32"/>
          <w:lang w:bidi="ar"/>
        </w:rPr>
        <w:t>.被追索人对票据（包）分包发起追索同意清偿申请，追索人应答</w:t>
      </w:r>
      <w:r>
        <w:rPr>
          <w:rFonts w:hint="eastAsia" w:ascii="仿宋" w:hAnsi="仿宋" w:eastAsia="仿宋" w:cs="仿宋"/>
          <w:sz w:val="32"/>
          <w:szCs w:val="32"/>
        </w:rPr>
        <w:t>为“同意”且清偿成功的，追索人</w:t>
      </w:r>
      <w:r>
        <w:rPr>
          <w:rFonts w:hint="eastAsia" w:ascii="仿宋" w:hAnsi="仿宋" w:eastAsia="仿宋" w:cs="仿宋"/>
          <w:bCs/>
          <w:color w:val="000000"/>
          <w:sz w:val="32"/>
          <w:szCs w:val="32"/>
          <w:lang w:bidi="ar"/>
        </w:rPr>
        <w:t>可对未清偿的票据（包）再次发起追索通知。</w:t>
      </w:r>
    </w:p>
    <w:p>
      <w:pPr>
        <w:spacing w:line="590" w:lineRule="exact"/>
        <w:ind w:firstLine="640" w:firstLineChars="200"/>
        <w:rPr>
          <w:rFonts w:hint="eastAsia" w:ascii="仿宋" w:hAnsi="仿宋" w:eastAsia="仿宋" w:cs="仿宋"/>
          <w:bCs/>
          <w:color w:val="000000"/>
          <w:sz w:val="32"/>
          <w:szCs w:val="32"/>
          <w:lang w:bidi="ar"/>
        </w:rPr>
      </w:pPr>
    </w:p>
    <w:p>
      <w:pPr>
        <w:widowControl/>
        <w:spacing w:line="590" w:lineRule="exact"/>
        <w:ind w:firstLine="643" w:firstLineChars="200"/>
        <w:outlineLvl w:val="1"/>
        <w:rPr>
          <w:rFonts w:ascii="仿宋" w:hAnsi="仿宋" w:eastAsia="仿宋" w:cs="仿宋"/>
          <w:b/>
          <w:bCs/>
          <w:sz w:val="32"/>
          <w:szCs w:val="32"/>
        </w:rPr>
      </w:pPr>
      <w:bookmarkStart w:id="1829" w:name="_Toc27810"/>
      <w:bookmarkStart w:id="1830" w:name="_Toc4302"/>
      <w:bookmarkStart w:id="1831" w:name="_Toc8687"/>
      <w:bookmarkStart w:id="1832" w:name="_Toc1101461932"/>
      <w:bookmarkStart w:id="1833" w:name="_Toc21738"/>
      <w:bookmarkStart w:id="1834" w:name="_Toc9488"/>
      <w:bookmarkStart w:id="1835" w:name="_Toc13955"/>
      <w:bookmarkStart w:id="1836" w:name="_Toc31257"/>
      <w:bookmarkStart w:id="1837" w:name="_Toc13569"/>
      <w:bookmarkStart w:id="1838" w:name="_Toc22054"/>
      <w:bookmarkStart w:id="1839" w:name="_Toc22288"/>
      <w:bookmarkStart w:id="1840" w:name="_Toc30552"/>
      <w:r>
        <w:rPr>
          <w:rFonts w:hint="eastAsia" w:ascii="仿宋" w:hAnsi="仿宋" w:eastAsia="仿宋" w:cs="仿宋"/>
          <w:b/>
          <w:bCs/>
          <w:sz w:val="32"/>
          <w:szCs w:val="32"/>
        </w:rPr>
        <w:t>7</w:t>
      </w:r>
      <w:r>
        <w:rPr>
          <w:rFonts w:ascii="仿宋" w:hAnsi="仿宋" w:eastAsia="仿宋" w:cs="仿宋"/>
          <w:b/>
          <w:bCs/>
          <w:sz w:val="32"/>
          <w:szCs w:val="32"/>
        </w:rPr>
        <w:t>.</w:t>
      </w:r>
      <w:r>
        <w:rPr>
          <w:rFonts w:hint="eastAsia" w:ascii="仿宋" w:hAnsi="仿宋" w:eastAsia="仿宋" w:cs="仿宋"/>
          <w:b/>
          <w:bCs/>
          <w:sz w:val="32"/>
          <w:szCs w:val="32"/>
        </w:rPr>
        <w:t>3</w:t>
      </w:r>
      <w:r>
        <w:rPr>
          <w:rFonts w:ascii="仿宋" w:hAnsi="仿宋" w:eastAsia="仿宋" w:cs="仿宋"/>
          <w:b/>
          <w:bCs/>
          <w:sz w:val="32"/>
          <w:szCs w:val="32"/>
        </w:rPr>
        <w:t xml:space="preserve"> </w:t>
      </w:r>
      <w:r>
        <w:rPr>
          <w:rFonts w:hint="eastAsia" w:ascii="仿宋" w:hAnsi="仿宋" w:eastAsia="仿宋" w:cs="仿宋"/>
          <w:b/>
          <w:bCs/>
          <w:sz w:val="32"/>
          <w:szCs w:val="32"/>
        </w:rPr>
        <w:t>票据的结清</w:t>
      </w:r>
      <w:bookmarkEnd w:id="1829"/>
      <w:bookmarkEnd w:id="1830"/>
      <w:bookmarkEnd w:id="1831"/>
      <w:bookmarkEnd w:id="1832"/>
      <w:bookmarkEnd w:id="1833"/>
      <w:bookmarkEnd w:id="1834"/>
      <w:bookmarkEnd w:id="1835"/>
      <w:bookmarkEnd w:id="1836"/>
      <w:bookmarkEnd w:id="1837"/>
      <w:bookmarkEnd w:id="1838"/>
      <w:bookmarkEnd w:id="1839"/>
      <w:bookmarkEnd w:id="1840"/>
    </w:p>
    <w:p>
      <w:pPr>
        <w:spacing w:line="590" w:lineRule="exact"/>
        <w:ind w:firstLine="640" w:firstLineChars="200"/>
        <w:rPr>
          <w:rFonts w:ascii="仿宋" w:hAnsi="仿宋" w:eastAsia="仿宋" w:cs="仿宋"/>
          <w:color w:val="000000"/>
          <w:sz w:val="32"/>
          <w:szCs w:val="32"/>
        </w:rPr>
      </w:pPr>
      <w:bookmarkStart w:id="1841" w:name="_Toc30565"/>
      <w:bookmarkStart w:id="1842" w:name="_Toc9529"/>
      <w:r>
        <w:rPr>
          <w:rFonts w:hint="eastAsia" w:ascii="仿宋" w:hAnsi="仿宋" w:eastAsia="仿宋" w:cs="仿宋"/>
          <w:color w:val="000000"/>
          <w:sz w:val="32"/>
          <w:szCs w:val="32"/>
        </w:rPr>
        <w:t>1.提示付款发起后承兑人足额付款的，票据结清。</w:t>
      </w:r>
    </w:p>
    <w:p>
      <w:pPr>
        <w:spacing w:line="590" w:lineRule="exact"/>
        <w:ind w:firstLine="640" w:firstLineChars="200"/>
        <w:rPr>
          <w:rFonts w:ascii="仿宋" w:hAnsi="仿宋" w:eastAsia="仿宋" w:cs="仿宋"/>
          <w:bCs/>
          <w:color w:val="000000"/>
          <w:sz w:val="32"/>
          <w:szCs w:val="32"/>
          <w:lang w:bidi="ar"/>
        </w:rPr>
      </w:pPr>
      <w:r>
        <w:rPr>
          <w:rFonts w:ascii="仿宋" w:hAnsi="仿宋" w:eastAsia="仿宋" w:cs="仿宋"/>
          <w:bCs/>
          <w:color w:val="000000"/>
          <w:sz w:val="32"/>
          <w:szCs w:val="32"/>
          <w:lang w:bidi="ar"/>
        </w:rPr>
        <w:t>2.</w:t>
      </w:r>
      <w:r>
        <w:rPr>
          <w:rFonts w:hint="eastAsia" w:ascii="仿宋" w:hAnsi="仿宋" w:eastAsia="仿宋" w:cs="仿宋"/>
          <w:color w:val="000000"/>
          <w:sz w:val="32"/>
          <w:szCs w:val="32"/>
        </w:rPr>
        <w:t>持票人追索至出票人或承兑人且清偿成功的，票据结清。</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bCs/>
          <w:color w:val="000000"/>
          <w:sz w:val="32"/>
          <w:szCs w:val="32"/>
          <w:lang w:bidi="ar"/>
        </w:rPr>
        <w:t>3.</w:t>
      </w:r>
      <w:r>
        <w:rPr>
          <w:rFonts w:ascii="仿宋" w:hAnsi="仿宋" w:eastAsia="仿宋" w:cs="仿宋"/>
          <w:bCs/>
          <w:color w:val="000000"/>
          <w:sz w:val="32"/>
          <w:szCs w:val="32"/>
          <w:lang w:bidi="ar"/>
        </w:rPr>
        <w:t>票据结清，票交所</w:t>
      </w:r>
      <w:r>
        <w:rPr>
          <w:rFonts w:hint="eastAsia" w:ascii="仿宋" w:hAnsi="仿宋" w:eastAsia="仿宋" w:cs="仿宋"/>
          <w:bCs/>
          <w:color w:val="000000"/>
          <w:sz w:val="32"/>
          <w:szCs w:val="32"/>
          <w:lang w:bidi="ar"/>
        </w:rPr>
        <w:t>通过数据文件方式</w:t>
      </w:r>
      <w:r>
        <w:rPr>
          <w:rFonts w:ascii="仿宋" w:hAnsi="仿宋" w:eastAsia="仿宋" w:cs="仿宋"/>
          <w:bCs/>
          <w:color w:val="000000"/>
          <w:sz w:val="32"/>
          <w:szCs w:val="32"/>
          <w:lang w:bidi="ar"/>
        </w:rPr>
        <w:t>通知出票人、</w:t>
      </w:r>
      <w:r>
        <w:rPr>
          <w:rFonts w:hint="eastAsia" w:ascii="仿宋" w:hAnsi="仿宋" w:eastAsia="仿宋" w:cs="仿宋"/>
          <w:bCs/>
          <w:color w:val="000000"/>
          <w:sz w:val="32"/>
          <w:szCs w:val="32"/>
          <w:lang w:bidi="ar"/>
        </w:rPr>
        <w:t>承兑人、</w:t>
      </w:r>
      <w:r>
        <w:rPr>
          <w:rFonts w:ascii="仿宋" w:hAnsi="仿宋" w:eastAsia="仿宋" w:cs="仿宋"/>
          <w:bCs/>
          <w:color w:val="000000"/>
          <w:sz w:val="32"/>
          <w:szCs w:val="32"/>
          <w:lang w:bidi="ar"/>
        </w:rPr>
        <w:t>贴现前各手背书人、贴入人、持票人</w:t>
      </w:r>
      <w:r>
        <w:rPr>
          <w:rFonts w:hint="eastAsia" w:ascii="仿宋" w:hAnsi="仿宋" w:eastAsia="仿宋" w:cs="仿宋"/>
          <w:bCs/>
          <w:color w:val="000000"/>
          <w:sz w:val="32"/>
          <w:szCs w:val="32"/>
          <w:lang w:bidi="ar"/>
        </w:rPr>
        <w:t>、</w:t>
      </w:r>
      <w:r>
        <w:rPr>
          <w:rFonts w:ascii="仿宋" w:hAnsi="仿宋" w:eastAsia="仿宋" w:cs="仿宋"/>
          <w:bCs/>
          <w:color w:val="000000"/>
          <w:sz w:val="32"/>
          <w:szCs w:val="32"/>
          <w:lang w:bidi="ar"/>
        </w:rPr>
        <w:t>已质押未解除的质权人、保证人等相关票据当事人的参与者服务机构。</w:t>
      </w:r>
    </w:p>
    <w:p>
      <w:pPr>
        <w:numPr>
          <w:ilvl w:val="255"/>
          <w:numId w:val="0"/>
        </w:numPr>
        <w:spacing w:line="590" w:lineRule="exact"/>
        <w:ind w:firstLine="640" w:firstLineChars="200"/>
        <w:rPr>
          <w:rFonts w:ascii="仿宋" w:hAnsi="仿宋" w:eastAsia="仿宋" w:cs="仿宋"/>
          <w:color w:val="000000"/>
          <w:sz w:val="32"/>
          <w:szCs w:val="32"/>
        </w:rPr>
      </w:pPr>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br w:type="page"/>
      </w:r>
    </w:p>
    <w:p>
      <w:pPr>
        <w:spacing w:line="590" w:lineRule="exact"/>
        <w:jc w:val="center"/>
        <w:outlineLvl w:val="0"/>
        <w:rPr>
          <w:rFonts w:ascii="仿宋" w:hAnsi="仿宋" w:eastAsia="仿宋" w:cs="仿宋"/>
          <w:b/>
          <w:bCs/>
          <w:kern w:val="44"/>
          <w:sz w:val="40"/>
          <w:szCs w:val="40"/>
        </w:rPr>
      </w:pPr>
      <w:bookmarkStart w:id="1843" w:name="_Toc25070"/>
      <w:bookmarkStart w:id="1844" w:name="_Toc10927"/>
      <w:bookmarkStart w:id="1845" w:name="_Toc11248"/>
      <w:bookmarkStart w:id="1846" w:name="_Toc7386"/>
      <w:bookmarkStart w:id="1847" w:name="_Toc28027"/>
      <w:bookmarkStart w:id="1848" w:name="_Toc1246462632"/>
      <w:bookmarkStart w:id="1849" w:name="_Toc3483"/>
      <w:bookmarkStart w:id="1850" w:name="_Toc747"/>
      <w:bookmarkStart w:id="1851" w:name="_Toc31769"/>
      <w:bookmarkStart w:id="1852" w:name="_Toc9612"/>
      <w:bookmarkStart w:id="1853" w:name="_Toc14270"/>
      <w:bookmarkStart w:id="1854" w:name="_Toc28493"/>
      <w:r>
        <w:rPr>
          <w:rFonts w:hint="eastAsia" w:ascii="仿宋" w:hAnsi="仿宋" w:eastAsia="仿宋" w:cs="仿宋"/>
          <w:b/>
          <w:bCs/>
          <w:kern w:val="44"/>
          <w:sz w:val="40"/>
          <w:szCs w:val="40"/>
        </w:rPr>
        <w:t>第八章 票据资金清</w:t>
      </w:r>
      <w:r>
        <w:rPr>
          <w:rFonts w:hint="eastAsia" w:ascii="仿宋" w:hAnsi="仿宋" w:eastAsia="仿宋" w:cs="仿宋"/>
          <w:b/>
          <w:bCs/>
          <w:kern w:val="44"/>
          <w:sz w:val="40"/>
          <w:szCs w:val="40"/>
          <w:lang w:eastAsia="zh-CN"/>
        </w:rPr>
        <w:t>算</w:t>
      </w:r>
      <w:r>
        <w:rPr>
          <w:rFonts w:hint="eastAsia" w:ascii="仿宋" w:hAnsi="仿宋" w:eastAsia="仿宋" w:cs="仿宋"/>
          <w:b/>
          <w:bCs/>
          <w:kern w:val="44"/>
          <w:sz w:val="40"/>
          <w:szCs w:val="40"/>
        </w:rPr>
        <w:t>结算和票据登记</w:t>
      </w:r>
      <w:bookmarkEnd w:id="1714"/>
      <w:bookmarkEnd w:id="1715"/>
      <w:bookmarkEnd w:id="1716"/>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widowControl/>
        <w:spacing w:line="590" w:lineRule="exact"/>
        <w:ind w:firstLine="643" w:firstLineChars="200"/>
        <w:rPr>
          <w:rFonts w:ascii="仿宋" w:hAnsi="仿宋" w:eastAsia="仿宋" w:cs="仿宋"/>
          <w:b/>
          <w:bCs/>
          <w:sz w:val="32"/>
          <w:szCs w:val="32"/>
        </w:rPr>
      </w:pPr>
    </w:p>
    <w:p>
      <w:pPr>
        <w:widowControl/>
        <w:spacing w:line="590" w:lineRule="exact"/>
        <w:ind w:firstLine="643" w:firstLineChars="200"/>
        <w:outlineLvl w:val="1"/>
        <w:rPr>
          <w:rFonts w:ascii="仿宋" w:hAnsi="仿宋" w:eastAsia="仿宋" w:cs="仿宋"/>
          <w:b/>
          <w:bCs/>
          <w:sz w:val="32"/>
          <w:szCs w:val="32"/>
        </w:rPr>
      </w:pPr>
      <w:bookmarkStart w:id="1855" w:name="_Toc20757"/>
      <w:bookmarkStart w:id="1856" w:name="_Toc31648"/>
      <w:bookmarkStart w:id="1857" w:name="_Toc18291"/>
      <w:bookmarkStart w:id="1858" w:name="_Toc28030"/>
      <w:bookmarkStart w:id="1859" w:name="_Toc4524"/>
      <w:bookmarkStart w:id="1860" w:name="_Toc30522"/>
      <w:bookmarkStart w:id="1861" w:name="_Toc9478"/>
      <w:bookmarkStart w:id="1862" w:name="_Toc9851"/>
      <w:bookmarkStart w:id="1863" w:name="_Toc4122"/>
      <w:bookmarkStart w:id="1864" w:name="_Toc5955"/>
      <w:bookmarkStart w:id="1865" w:name="_Toc27534"/>
      <w:bookmarkStart w:id="1866" w:name="_Toc16752"/>
      <w:bookmarkStart w:id="1867" w:name="_Toc18126"/>
      <w:bookmarkStart w:id="1868" w:name="_Toc1663614363"/>
      <w:r>
        <w:rPr>
          <w:rFonts w:ascii="仿宋" w:hAnsi="仿宋" w:eastAsia="仿宋" w:cs="仿宋"/>
          <w:b/>
          <w:bCs/>
          <w:sz w:val="32"/>
          <w:szCs w:val="32"/>
        </w:rPr>
        <w:t>8.</w:t>
      </w:r>
      <w:r>
        <w:rPr>
          <w:rFonts w:hint="eastAsia" w:ascii="仿宋" w:hAnsi="仿宋" w:eastAsia="仿宋" w:cs="仿宋"/>
          <w:b/>
          <w:bCs/>
          <w:sz w:val="32"/>
          <w:szCs w:val="32"/>
        </w:rPr>
        <w:t>1</w:t>
      </w:r>
      <w:r>
        <w:rPr>
          <w:rFonts w:ascii="仿宋" w:hAnsi="仿宋" w:eastAsia="仿宋" w:cs="仿宋"/>
          <w:b/>
          <w:bCs/>
          <w:sz w:val="32"/>
          <w:szCs w:val="32"/>
        </w:rPr>
        <w:t xml:space="preserve"> 资金清算结算</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1869" w:name="_Toc20645"/>
      <w:bookmarkStart w:id="1870" w:name="_Toc5396"/>
      <w:bookmarkStart w:id="1871" w:name="_Toc1240593601"/>
      <w:bookmarkStart w:id="1872" w:name="_Toc11071"/>
      <w:bookmarkStart w:id="1873" w:name="_Toc21892"/>
      <w:bookmarkStart w:id="1874" w:name="_Toc32543"/>
      <w:bookmarkStart w:id="1875" w:name="_Toc14248"/>
      <w:bookmarkStart w:id="1876" w:name="_Toc8606"/>
      <w:bookmarkStart w:id="1877" w:name="_Toc29650"/>
      <w:bookmarkStart w:id="1878" w:name="_Toc25447"/>
      <w:bookmarkStart w:id="1879" w:name="_Toc16890"/>
      <w:bookmarkStart w:id="1880" w:name="_Toc11611"/>
      <w:bookmarkStart w:id="1881" w:name="_Toc7988"/>
      <w:bookmarkStart w:id="1882" w:name="_Toc23758"/>
      <w:r>
        <w:rPr>
          <w:rFonts w:ascii="仿宋" w:hAnsi="仿宋" w:eastAsia="仿宋" w:cs="仿宋"/>
          <w:b/>
          <w:bCs/>
          <w:sz w:val="32"/>
          <w:szCs w:val="32"/>
        </w:rPr>
        <w:t>8.</w:t>
      </w:r>
      <w:r>
        <w:rPr>
          <w:rFonts w:hint="eastAsia" w:ascii="仿宋" w:hAnsi="仿宋" w:eastAsia="仿宋" w:cs="仿宋"/>
          <w:b/>
          <w:bCs/>
          <w:sz w:val="32"/>
          <w:szCs w:val="32"/>
        </w:rPr>
        <w:t>1</w:t>
      </w:r>
      <w:r>
        <w:rPr>
          <w:rFonts w:ascii="仿宋" w:hAnsi="仿宋" w:eastAsia="仿宋" w:cs="仿宋"/>
          <w:b/>
          <w:bCs/>
          <w:sz w:val="32"/>
          <w:szCs w:val="32"/>
        </w:rPr>
        <w:t>.1 概述</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pPr>
        <w:spacing w:line="590" w:lineRule="exact"/>
        <w:ind w:firstLine="640" w:firstLineChars="200"/>
        <w:rPr>
          <w:rFonts w:ascii="仿宋" w:hAnsi="仿宋" w:eastAsia="仿宋"/>
          <w:sz w:val="32"/>
          <w:szCs w:val="32"/>
        </w:rPr>
      </w:pPr>
      <w:r>
        <w:rPr>
          <w:rFonts w:hint="eastAsia" w:ascii="仿宋" w:hAnsi="仿宋" w:eastAsia="仿宋"/>
          <w:sz w:val="32"/>
          <w:szCs w:val="32"/>
        </w:rPr>
        <w:t>票交所为已达成业务提供资金清算结算服务，包括但不限于：贴现、回购式贴现赎回，存托，转贴现、质押式回购、质押式回购赎回、买断式回购、买断式回购赎回，再贴现，提示付款，追索。</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[资金清算]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资金清算，是指票据业务提交结算请求后的处理过程，包括结算金额的计算、结算指令的发送和资金到账确认的过程。本指南第“8.1 资金清算结算”章节所称清算即指资金清算。</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[资金结算]</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color w:val="000000"/>
          <w:sz w:val="32"/>
          <w:szCs w:val="32"/>
          <w:lang w:bidi="ar"/>
        </w:rPr>
        <w:t>资金结算是指收付款双方资金到账确认的过程。本指南第“</w:t>
      </w:r>
      <w:r>
        <w:rPr>
          <w:rFonts w:hint="eastAsia" w:ascii="仿宋" w:hAnsi="仿宋" w:eastAsia="仿宋" w:cs="仿宋"/>
          <w:sz w:val="32"/>
          <w:szCs w:val="32"/>
        </w:rPr>
        <w:t>8.1 资金清算结算”章节所称结算即指资金结算。</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[结算方式]</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直接参与者开展</w:t>
      </w:r>
      <w:r>
        <w:rPr>
          <w:rFonts w:hint="eastAsia" w:ascii="仿宋" w:hAnsi="仿宋" w:eastAsia="仿宋"/>
          <w:sz w:val="32"/>
          <w:szCs w:val="32"/>
        </w:rPr>
        <w:t>转贴现、质押式回购、质押式回购赎回、买断式回购、买断式回购赎回、再贴现等</w:t>
      </w:r>
      <w:r>
        <w:rPr>
          <w:rFonts w:hint="eastAsia" w:ascii="仿宋" w:hAnsi="仿宋" w:eastAsia="仿宋" w:cs="仿宋"/>
          <w:sz w:val="32"/>
          <w:szCs w:val="32"/>
        </w:rPr>
        <w:t>业务，票交所支持票款对付（DVP）和纯票过户（FOP）两种结算方式。</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直接参与者或间接参与者开展贴现、</w:t>
      </w:r>
      <w:r>
        <w:rPr>
          <w:rFonts w:hint="eastAsia" w:ascii="仿宋" w:hAnsi="仿宋" w:eastAsia="仿宋"/>
          <w:sz w:val="32"/>
          <w:szCs w:val="32"/>
        </w:rPr>
        <w:t>回购式贴现赎回、</w:t>
      </w:r>
      <w:r>
        <w:rPr>
          <w:rFonts w:hint="eastAsia" w:ascii="仿宋" w:hAnsi="仿宋" w:eastAsia="仿宋" w:cs="仿宋"/>
          <w:sz w:val="32"/>
          <w:szCs w:val="32"/>
        </w:rPr>
        <w:t>存托、提示付款、追索等业务，票交所支持线上清算和线下清算两种结算方式。</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[清算方式]</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采用票款对付或线上清算结算方式的票据业务，其资金清算方式分为逐笔清算和批量清算。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逐笔清算是指按照单笔业务的结算金额进行的票据资金清算。</w:t>
      </w:r>
    </w:p>
    <w:p>
      <w:pPr>
        <w:spacing w:line="590" w:lineRule="exact"/>
        <w:ind w:firstLine="640" w:firstLineChars="200"/>
        <w:rPr>
          <w:rFonts w:ascii="仿宋_GB2312" w:hAnsi="仿宋_GB2312" w:eastAsia="仿宋_GB2312" w:cs="仿宋_GB2312"/>
          <w:color w:val="000000"/>
          <w:sz w:val="31"/>
          <w:szCs w:val="31"/>
          <w:lang w:bidi="ar"/>
        </w:rPr>
      </w:pPr>
      <w:r>
        <w:rPr>
          <w:rFonts w:hint="eastAsia" w:ascii="仿宋" w:hAnsi="仿宋" w:eastAsia="仿宋" w:cs="仿宋"/>
          <w:sz w:val="32"/>
          <w:szCs w:val="32"/>
        </w:rPr>
        <w:t>批量清算是指按场次汇总计算票据业务的应收和应付资金总额</w:t>
      </w:r>
      <w:r>
        <w:rPr>
          <w:rFonts w:hint="eastAsia" w:ascii="仿宋" w:hAnsi="仿宋" w:eastAsia="仿宋" w:cs="仿宋"/>
          <w:sz w:val="32"/>
          <w:szCs w:val="32"/>
          <w:lang w:bidi="ar"/>
        </w:rPr>
        <w:t>，</w:t>
      </w:r>
      <w:r>
        <w:rPr>
          <w:rFonts w:hint="eastAsia" w:ascii="仿宋_GB2312" w:hAnsi="仿宋_GB2312" w:eastAsia="仿宋_GB2312" w:cs="仿宋_GB2312"/>
          <w:color w:val="000000"/>
          <w:sz w:val="31"/>
          <w:szCs w:val="31"/>
          <w:lang w:bidi="ar"/>
        </w:rPr>
        <w:t>并按照先扣收应付资金总额（以下简称统收）、后划付应收资金总额（以下简称统付）的顺序进行的票据资金清算。</w:t>
      </w:r>
    </w:p>
    <w:p>
      <w:pPr>
        <w:spacing w:line="590" w:lineRule="exact"/>
        <w:ind w:firstLine="622" w:firstLineChars="200"/>
        <w:rPr>
          <w:rFonts w:ascii="仿宋_GB2312" w:hAnsi="仿宋_GB2312" w:eastAsia="仿宋_GB2312" w:cs="仿宋_GB2312"/>
          <w:b/>
          <w:bCs/>
          <w:color w:val="000000"/>
          <w:sz w:val="31"/>
          <w:szCs w:val="31"/>
          <w:lang w:bidi="ar"/>
        </w:rPr>
      </w:pPr>
      <w:r>
        <w:rPr>
          <w:rFonts w:hint="eastAsia" w:ascii="仿宋_GB2312" w:hAnsi="仿宋_GB2312" w:eastAsia="仿宋_GB2312" w:cs="仿宋_GB2312"/>
          <w:b/>
          <w:bCs/>
          <w:color w:val="000000"/>
          <w:sz w:val="31"/>
          <w:szCs w:val="31"/>
          <w:lang w:bidi="ar"/>
        </w:rPr>
        <w:t>[清算速度]</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采用票款对付或线上清算结算方式的票据业务，票交所支持T+0或T+1两种方式进行清算。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T+0是指成交日（或提交结算日）的当日清算。</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T+1是指成交日（或提交结算日）的下一</w:t>
      </w:r>
      <w:r>
        <w:rPr>
          <w:rFonts w:hint="eastAsia" w:ascii="仿宋" w:hAnsi="仿宋" w:eastAsia="仿宋" w:cs="仿宋"/>
          <w:sz w:val="32"/>
          <w:szCs w:val="32"/>
          <w:lang w:eastAsia="zh-CN"/>
        </w:rPr>
        <w:t>营业日</w:t>
      </w:r>
      <w:r>
        <w:rPr>
          <w:rFonts w:hint="eastAsia" w:ascii="仿宋" w:hAnsi="仿宋" w:eastAsia="仿宋" w:cs="仿宋"/>
          <w:sz w:val="32"/>
          <w:szCs w:val="32"/>
        </w:rPr>
        <w:t>清算。</w:t>
      </w:r>
    </w:p>
    <w:p>
      <w:pPr>
        <w:spacing w:line="590" w:lineRule="exact"/>
        <w:ind w:firstLine="622" w:firstLineChars="200"/>
        <w:rPr>
          <w:rFonts w:ascii="仿宋_GB2312" w:hAnsi="仿宋_GB2312" w:eastAsia="仿宋_GB2312" w:cs="仿宋_GB2312"/>
          <w:b/>
          <w:bCs/>
          <w:color w:val="000000"/>
          <w:sz w:val="31"/>
          <w:szCs w:val="31"/>
          <w:lang w:bidi="ar"/>
        </w:rPr>
      </w:pPr>
      <w:r>
        <w:rPr>
          <w:rFonts w:hint="eastAsia" w:ascii="仿宋_GB2312" w:hAnsi="仿宋_GB2312" w:eastAsia="仿宋_GB2312" w:cs="仿宋_GB2312"/>
          <w:b/>
          <w:bCs/>
          <w:color w:val="000000"/>
          <w:sz w:val="31"/>
          <w:szCs w:val="31"/>
          <w:lang w:bidi="ar"/>
        </w:rPr>
        <w:t>[</w:t>
      </w:r>
      <w:r>
        <w:rPr>
          <w:rFonts w:hint="eastAsia" w:ascii="仿宋" w:hAnsi="仿宋" w:eastAsia="仿宋" w:cs="仿宋"/>
          <w:b/>
          <w:bCs/>
          <w:sz w:val="32"/>
          <w:szCs w:val="32"/>
        </w:rPr>
        <w:t>收（付）款方</w:t>
      </w:r>
      <w:r>
        <w:rPr>
          <w:rFonts w:hint="eastAsia" w:ascii="仿宋_GB2312" w:hAnsi="仿宋_GB2312" w:eastAsia="仿宋_GB2312" w:cs="仿宋_GB2312"/>
          <w:b/>
          <w:bCs/>
          <w:color w:val="000000"/>
          <w:sz w:val="31"/>
          <w:szCs w:val="31"/>
          <w:lang w:bidi="ar"/>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收（付）款方：主要包括收（付）款人、收（付）款人开户行。</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1883" w:name="_Toc16783"/>
      <w:bookmarkStart w:id="1884" w:name="_Toc31877"/>
      <w:bookmarkStart w:id="1885" w:name="_Toc9228"/>
      <w:bookmarkStart w:id="1886" w:name="_Toc15135"/>
      <w:bookmarkStart w:id="1887" w:name="_Toc4327"/>
      <w:bookmarkStart w:id="1888" w:name="_Toc10116"/>
      <w:bookmarkStart w:id="1889" w:name="_Toc6147"/>
      <w:bookmarkStart w:id="1890" w:name="_Toc10895"/>
      <w:bookmarkStart w:id="1891" w:name="_Toc21403"/>
      <w:bookmarkStart w:id="1892" w:name="_Toc7820"/>
      <w:bookmarkStart w:id="1893" w:name="_Toc10082"/>
      <w:bookmarkStart w:id="1894" w:name="_Toc1668972337"/>
      <w:bookmarkStart w:id="1895" w:name="_Toc14689"/>
      <w:bookmarkStart w:id="1896" w:name="_Toc9339"/>
      <w:r>
        <w:rPr>
          <w:rFonts w:ascii="仿宋" w:hAnsi="仿宋" w:eastAsia="仿宋" w:cs="仿宋"/>
          <w:b/>
          <w:bCs/>
          <w:sz w:val="32"/>
          <w:szCs w:val="32"/>
        </w:rPr>
        <w:t>8.</w:t>
      </w:r>
      <w:r>
        <w:rPr>
          <w:rFonts w:hint="eastAsia" w:ascii="仿宋" w:hAnsi="仿宋" w:eastAsia="仿宋" w:cs="仿宋"/>
          <w:b/>
          <w:bCs/>
          <w:sz w:val="32"/>
          <w:szCs w:val="32"/>
        </w:rPr>
        <w:t>1</w:t>
      </w:r>
      <w:r>
        <w:rPr>
          <w:rFonts w:ascii="仿宋" w:hAnsi="仿宋" w:eastAsia="仿宋" w:cs="仿宋"/>
          <w:b/>
          <w:bCs/>
          <w:sz w:val="32"/>
          <w:szCs w:val="32"/>
        </w:rPr>
        <w:t>.2 业务规则</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8.1.2.1 资金账户使用和管理</w:t>
      </w:r>
    </w:p>
    <w:p>
      <w:pPr>
        <w:widowControl/>
        <w:spacing w:line="590" w:lineRule="exact"/>
        <w:ind w:firstLine="643" w:firstLineChars="200"/>
        <w:rPr>
          <w:rFonts w:ascii="仿宋_GB2312" w:hAnsi="仿宋_GB2312" w:eastAsia="仿宋_GB2312" w:cs="仿宋_GB2312"/>
          <w:color w:val="000000"/>
          <w:kern w:val="0"/>
          <w:sz w:val="31"/>
          <w:szCs w:val="31"/>
          <w:lang w:bidi="ar"/>
        </w:rPr>
      </w:pPr>
      <w:r>
        <w:rPr>
          <w:rFonts w:hint="eastAsia" w:ascii="仿宋" w:hAnsi="仿宋" w:eastAsia="仿宋" w:cs="仿宋"/>
          <w:b/>
          <w:bCs/>
          <w:sz w:val="32"/>
          <w:szCs w:val="32"/>
        </w:rPr>
        <w:t>[流动性管理]</w:t>
      </w:r>
    </w:p>
    <w:p>
      <w:pPr>
        <w:widowControl/>
        <w:spacing w:line="590" w:lineRule="exact"/>
        <w:ind w:firstLine="620" w:firstLineChars="200"/>
        <w:rPr>
          <w:rFonts w:ascii="仿宋_GB2312" w:hAnsi="仿宋_GB2312" w:eastAsia="仿宋_GB2312" w:cs="仿宋_GB2312"/>
          <w:color w:val="000000"/>
          <w:kern w:val="0"/>
          <w:sz w:val="31"/>
          <w:szCs w:val="31"/>
        </w:rPr>
      </w:pPr>
      <w:r>
        <w:rPr>
          <w:rFonts w:hint="eastAsia" w:ascii="仿宋_GB2312" w:hAnsi="仿宋_GB2312" w:eastAsia="仿宋_GB2312" w:cs="仿宋_GB2312"/>
          <w:color w:val="000000"/>
          <w:kern w:val="0"/>
          <w:sz w:val="31"/>
          <w:szCs w:val="31"/>
          <w:lang w:bidi="ar"/>
        </w:rPr>
        <w:t>金融机构以及非法人产品要加强其指定的人行清算账户或者会员资金账户的管理，账户应当真实有效且账户余额充足，保证票据资金清算结算业务的顺利完成。</w:t>
      </w:r>
    </w:p>
    <w:p>
      <w:pPr>
        <w:spacing w:line="590" w:lineRule="exact"/>
        <w:ind w:firstLine="620" w:firstLineChars="200"/>
        <w:rPr>
          <w:rFonts w:ascii="仿宋" w:hAnsi="仿宋" w:eastAsia="仿宋" w:cs="仿宋"/>
          <w:b/>
          <w:sz w:val="32"/>
          <w:szCs w:val="32"/>
        </w:rPr>
      </w:pPr>
      <w:r>
        <w:rPr>
          <w:rFonts w:hint="eastAsia" w:ascii="仿宋_GB2312" w:hAnsi="仿宋_GB2312" w:eastAsia="仿宋_GB2312" w:cs="仿宋_GB2312"/>
          <w:color w:val="000000"/>
          <w:sz w:val="31"/>
          <w:szCs w:val="31"/>
          <w:lang w:bidi="ar"/>
        </w:rPr>
        <w:t>票交所不为资金账户提供透支、垫资或者现金存取等服务。</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[入金业务管理]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账户持有人可以在大额支付系统运行时序内通过入金业务补足会员资金账户流动性。入金业务应当符合下列要求，票交所对不符合要求的入金业务作退汇处理。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1.会员资金账户状态正常；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2.金融机构应当通过开立在商业银行的同户名银行结算账户将资金汇入其会员资金账户；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3.非法人产品应当通过开立在托管银行的同户名托管账户将资金汇入其会员资金账户；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标准化票据产品可以按照协议</w:t>
      </w:r>
      <w:r>
        <w:rPr>
          <w:rFonts w:hint="eastAsia" w:ascii="仿宋" w:hAnsi="仿宋" w:eastAsia="仿宋" w:cs="仿宋"/>
          <w:sz w:val="32"/>
          <w:szCs w:val="32"/>
          <w:lang w:eastAsia="zh-CN"/>
        </w:rPr>
        <w:t>，通过</w:t>
      </w:r>
      <w:r>
        <w:rPr>
          <w:rFonts w:hint="eastAsia" w:ascii="仿宋" w:hAnsi="仿宋" w:eastAsia="仿宋" w:cs="仿宋"/>
          <w:sz w:val="32"/>
          <w:szCs w:val="32"/>
        </w:rPr>
        <w:t>指定的账户将资金汇入其会员资金账户；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4.票交所规定的其他要求。</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[出金业务管理]</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1.出金账户使用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金融机构原则上使用其基本存款账户作为出金账户。无法使用基本存款账户办理票据业务的，应当使用开立在本机构或基本存款账户开户银行的一般存款账户或者专用存款账户作为出金账户。</w:t>
      </w:r>
    </w:p>
    <w:p>
      <w:p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非法人产品应当使用在托管银行开立的同户名托管账户作为出金账户。</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标准化票据产品可以按照协议</w:t>
      </w:r>
      <w:r>
        <w:rPr>
          <w:rFonts w:hint="eastAsia" w:ascii="仿宋" w:hAnsi="仿宋" w:eastAsia="仿宋" w:cs="仿宋"/>
          <w:sz w:val="32"/>
          <w:szCs w:val="32"/>
          <w:lang w:eastAsia="zh-CN"/>
        </w:rPr>
        <w:t>，使用</w:t>
      </w:r>
      <w:r>
        <w:rPr>
          <w:rFonts w:hint="eastAsia" w:ascii="仿宋" w:hAnsi="仿宋" w:eastAsia="仿宋" w:cs="仿宋"/>
          <w:sz w:val="32"/>
          <w:szCs w:val="32"/>
        </w:rPr>
        <w:t>指定的账户作为出金账户。</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2.出金账户撤销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账户持有人在注销会员资金账户前不得擅自撤销出金账户。账户持有人因擅自提前撤销出金账户导致票交所会员资金账户无法正常注销的，票交所有权按规定将其会员资金账户结余资金列入久悬专户管理。</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3.出金时间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账户持有人可以根据需要，在票交所规定时间内提交出金申请，将会员资金账户结余资金划转至其预留的出金账户。</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sz w:val="32"/>
          <w:szCs w:val="32"/>
          <w:lang w:bidi="ar"/>
        </w:rPr>
        <w:t>票交所</w:t>
      </w:r>
      <w:r>
        <w:rPr>
          <w:rFonts w:hint="eastAsia" w:ascii="仿宋" w:hAnsi="仿宋" w:eastAsia="仿宋" w:cs="仿宋"/>
          <w:sz w:val="32"/>
          <w:szCs w:val="32"/>
        </w:rPr>
        <w:t>根据业务管理需要</w:t>
      </w:r>
      <w:r>
        <w:rPr>
          <w:rFonts w:hint="eastAsia" w:ascii="仿宋" w:hAnsi="仿宋" w:eastAsia="仿宋" w:cs="仿宋"/>
          <w:sz w:val="32"/>
          <w:szCs w:val="32"/>
          <w:lang w:bidi="ar"/>
        </w:rPr>
        <w:t>设置并调整</w:t>
      </w:r>
      <w:r>
        <w:rPr>
          <w:rFonts w:hint="eastAsia" w:ascii="仿宋" w:hAnsi="仿宋" w:eastAsia="仿宋" w:cs="仿宋"/>
          <w:sz w:val="32"/>
          <w:szCs w:val="32"/>
        </w:rPr>
        <w:t>出金时间</w:t>
      </w:r>
      <w:r>
        <w:rPr>
          <w:rFonts w:hint="eastAsia" w:ascii="仿宋" w:hAnsi="仿宋" w:eastAsia="仿宋" w:cs="仿宋"/>
          <w:sz w:val="32"/>
          <w:szCs w:val="32"/>
          <w:lang w:bidi="ar"/>
        </w:rPr>
        <w:t>。</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[会员资金账户利息]</w:t>
      </w:r>
    </w:p>
    <w:p>
      <w:pPr>
        <w:tabs>
          <w:tab w:val="left" w:pos="162"/>
          <w:tab w:val="left" w:pos="870"/>
        </w:tabs>
        <w:spacing w:line="590" w:lineRule="exact"/>
        <w:ind w:firstLine="640" w:firstLineChars="200"/>
        <w:rPr>
          <w:rFonts w:ascii="仿宋" w:hAnsi="仿宋" w:eastAsia="仿宋" w:cs="仿宋"/>
        </w:rPr>
      </w:pPr>
      <w:r>
        <w:rPr>
          <w:rFonts w:hint="eastAsia" w:ascii="仿宋" w:hAnsi="仿宋" w:eastAsia="仿宋" w:cs="仿宋"/>
          <w:sz w:val="32"/>
          <w:szCs w:val="32"/>
        </w:rPr>
        <w:t>会员资金账户按照票交所公布的利率计息（主管部门另有规定的除外）。</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票交所按季办理会员资金账户结息工作。每季度末月的 20 日为结息日，利息于结息日的下一自然日转入会员资金账户。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会员资金账户于注销时同步办理结息，利息实时转入该账户。</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[清</w:t>
      </w:r>
      <w:r>
        <w:rPr>
          <w:rFonts w:hint="eastAsia" w:ascii="仿宋" w:hAnsi="仿宋" w:eastAsia="仿宋" w:cs="仿宋"/>
          <w:b/>
          <w:bCs/>
          <w:sz w:val="32"/>
          <w:szCs w:val="32"/>
          <w:lang w:eastAsia="zh-CN"/>
        </w:rPr>
        <w:t>算</w:t>
      </w:r>
      <w:r>
        <w:rPr>
          <w:rFonts w:hint="eastAsia" w:ascii="仿宋" w:hAnsi="仿宋" w:eastAsia="仿宋" w:cs="仿宋"/>
          <w:b/>
          <w:bCs/>
          <w:sz w:val="32"/>
          <w:szCs w:val="32"/>
        </w:rPr>
        <w:t>结算业务查询]</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资金账户持有人可以通过票交所查询会员资金账户余额、一年内资金划付明细、计息利率和结息金额等信息。</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金融机构以及非法人产品可以通过票交所查询结算请求、结算明细以及结算结果等信息。</w:t>
      </w:r>
    </w:p>
    <w:p>
      <w:pPr>
        <w:widowControl/>
        <w:spacing w:line="590" w:lineRule="exact"/>
        <w:ind w:firstLine="640" w:firstLineChars="200"/>
        <w:rPr>
          <w:rFonts w:ascii="仿宋" w:hAnsi="仿宋" w:eastAsia="仿宋" w:cs="仿宋"/>
          <w:sz w:val="32"/>
          <w:szCs w:val="32"/>
        </w:rPr>
      </w:pPr>
    </w:p>
    <w:p>
      <w:pPr>
        <w:spacing w:line="590" w:lineRule="exact"/>
        <w:ind w:firstLine="643" w:firstLineChars="200"/>
        <w:outlineLvl w:val="3"/>
        <w:rPr>
          <w:rFonts w:ascii="仿宋" w:hAnsi="仿宋" w:eastAsia="仿宋" w:cs="仿宋"/>
          <w:b/>
          <w:bCs/>
          <w:sz w:val="32"/>
          <w:szCs w:val="32"/>
        </w:rPr>
      </w:pPr>
      <w:r>
        <w:rPr>
          <w:rFonts w:hint="eastAsia" w:ascii="仿宋" w:hAnsi="仿宋" w:eastAsia="仿宋" w:cs="仿宋"/>
          <w:b/>
          <w:sz w:val="32"/>
          <w:szCs w:val="32"/>
        </w:rPr>
        <w:t>8.1.2.2 清</w:t>
      </w:r>
      <w:r>
        <w:rPr>
          <w:rFonts w:hint="eastAsia" w:ascii="仿宋" w:hAnsi="仿宋" w:eastAsia="仿宋" w:cs="仿宋"/>
          <w:b/>
          <w:sz w:val="32"/>
          <w:szCs w:val="32"/>
          <w:lang w:eastAsia="zh-CN"/>
        </w:rPr>
        <w:t>算</w:t>
      </w:r>
      <w:r>
        <w:rPr>
          <w:rFonts w:hint="eastAsia" w:ascii="仿宋" w:hAnsi="仿宋" w:eastAsia="仿宋" w:cs="仿宋"/>
          <w:b/>
          <w:bCs/>
          <w:sz w:val="32"/>
          <w:szCs w:val="32"/>
        </w:rPr>
        <w:t>结算方式选择</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[结算方式选择]</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业务参与者开展票据交易应当采用票款对付，同一法人分支机构间的票据交易可以采用纯票过户。</w:t>
      </w:r>
    </w:p>
    <w:p>
      <w:pPr>
        <w:widowControl/>
        <w:spacing w:line="590" w:lineRule="exact"/>
        <w:ind w:firstLine="620" w:firstLineChars="200"/>
        <w:rPr>
          <w:rFonts w:ascii="仿宋_GB2312" w:hAnsi="仿宋_GB2312" w:eastAsia="仿宋_GB2312" w:cs="仿宋_GB2312"/>
          <w:color w:val="000000"/>
          <w:kern w:val="0"/>
          <w:sz w:val="31"/>
          <w:szCs w:val="31"/>
        </w:rPr>
      </w:pPr>
      <w:r>
        <w:rPr>
          <w:rFonts w:hint="eastAsia" w:ascii="仿宋_GB2312" w:hAnsi="仿宋_GB2312" w:eastAsia="仿宋_GB2312" w:cs="仿宋_GB2312"/>
          <w:color w:val="000000"/>
          <w:kern w:val="0"/>
          <w:sz w:val="31"/>
          <w:szCs w:val="31"/>
          <w:lang w:bidi="ar"/>
        </w:rPr>
        <w:t>持票人提示付款应当采用线上清算。</w:t>
      </w:r>
    </w:p>
    <w:p>
      <w:pPr>
        <w:widowControl/>
        <w:spacing w:line="590" w:lineRule="exact"/>
        <w:ind w:firstLine="620" w:firstLineChars="200"/>
        <w:rPr>
          <w:rFonts w:ascii="仿宋_GB2312" w:hAnsi="仿宋_GB2312" w:eastAsia="仿宋_GB2312" w:cs="仿宋_GB2312"/>
          <w:color w:val="000000"/>
          <w:kern w:val="0"/>
          <w:sz w:val="31"/>
          <w:szCs w:val="31"/>
        </w:rPr>
      </w:pPr>
      <w:r>
        <w:rPr>
          <w:rFonts w:hint="eastAsia" w:ascii="仿宋_GB2312" w:hAnsi="仿宋_GB2312" w:eastAsia="仿宋_GB2312" w:cs="仿宋_GB2312"/>
          <w:color w:val="000000"/>
          <w:kern w:val="0"/>
          <w:sz w:val="31"/>
          <w:szCs w:val="31"/>
          <w:lang w:bidi="ar"/>
        </w:rPr>
        <w:t>持票人办理贴现（含线上贴现）、追索业务可以采用线上清算或者线下清算。</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[清算方式选择]</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bCs/>
          <w:sz w:val="32"/>
          <w:szCs w:val="32"/>
        </w:rPr>
        <w:t>1.采用逐笔清算的业务范围包括：</w:t>
      </w:r>
      <w:r>
        <w:rPr>
          <w:rFonts w:hint="eastAsia" w:ascii="仿宋" w:hAnsi="仿宋" w:eastAsia="仿宋" w:cs="仿宋"/>
          <w:bCs/>
          <w:sz w:val="32"/>
          <w:szCs w:val="32"/>
          <w:lang w:bidi="ar"/>
        </w:rPr>
        <w:t>贴现（含线上贴现）、回购式贴现赎回、转贴现、质押式回购、买断式回购、提前及期后提示付款、追索，及</w:t>
      </w:r>
      <w:r>
        <w:rPr>
          <w:rFonts w:hint="eastAsia" w:ascii="仿宋" w:hAnsi="仿宋" w:eastAsia="仿宋" w:cs="仿宋"/>
          <w:sz w:val="32"/>
          <w:szCs w:val="32"/>
          <w:lang w:bidi="ar"/>
        </w:rPr>
        <w:t>不符合采用批量清算条件的到期提示付款业务。</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rPr>
        <w:t>2.采用批量清算的业务范围包括：</w:t>
      </w:r>
      <w:r>
        <w:rPr>
          <w:rFonts w:hint="eastAsia" w:ascii="仿宋" w:hAnsi="仿宋" w:eastAsia="仿宋" w:cs="仿宋"/>
          <w:bCs/>
          <w:sz w:val="32"/>
          <w:szCs w:val="32"/>
          <w:lang w:bidi="ar"/>
        </w:rPr>
        <w:t>电票（不包括供应链票据）和已贴现纸票的到期提示付款业务。</w:t>
      </w:r>
    </w:p>
    <w:p>
      <w:pPr>
        <w:spacing w:line="590" w:lineRule="exact"/>
        <w:rPr>
          <w:rFonts w:ascii="仿宋" w:hAnsi="仿宋" w:eastAsia="仿宋" w:cs="仿宋"/>
          <w:bCs/>
          <w:sz w:val="32"/>
          <w:szCs w:val="32"/>
          <w:lang w:bidi="ar"/>
        </w:rPr>
      </w:pPr>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8.1.2.3 批量清算管理</w:t>
      </w:r>
    </w:p>
    <w:p>
      <w:pPr>
        <w:spacing w:line="590" w:lineRule="exact"/>
        <w:ind w:firstLine="643" w:firstLineChars="200"/>
        <w:rPr>
          <w:rFonts w:ascii="仿宋" w:hAnsi="仿宋" w:eastAsia="仿宋" w:cs="仿宋"/>
          <w:bCs/>
          <w:sz w:val="32"/>
          <w:szCs w:val="32"/>
          <w:lang w:bidi="ar"/>
        </w:rPr>
      </w:pPr>
      <w:r>
        <w:rPr>
          <w:rFonts w:hint="eastAsia" w:ascii="仿宋" w:hAnsi="仿宋" w:eastAsia="仿宋" w:cs="仿宋"/>
          <w:b/>
          <w:bCs/>
          <w:sz w:val="32"/>
          <w:szCs w:val="32"/>
        </w:rPr>
        <w:t>[</w:t>
      </w:r>
      <w:r>
        <w:rPr>
          <w:rFonts w:hint="eastAsia" w:ascii="仿宋" w:hAnsi="仿宋" w:eastAsia="仿宋" w:cs="仿宋"/>
          <w:b/>
          <w:bCs/>
          <w:sz w:val="32"/>
          <w:szCs w:val="32"/>
          <w:lang w:bidi="ar"/>
        </w:rPr>
        <w:t>清算场次</w:t>
      </w:r>
      <w:r>
        <w:rPr>
          <w:rFonts w:hint="eastAsia" w:ascii="仿宋" w:hAnsi="仿宋" w:eastAsia="仿宋" w:cs="仿宋"/>
          <w:b/>
          <w:bCs/>
          <w:sz w:val="32"/>
          <w:szCs w:val="32"/>
        </w:rPr>
        <w:t>]</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sz w:val="32"/>
          <w:szCs w:val="32"/>
          <w:lang w:bidi="ar"/>
        </w:rPr>
        <w:t>票交所负责设置并调整批量清算的场次和时间。</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到期提示付款业务可采用批量清算方式。对于采用批量清算的到期提示付款业务，自动处理为应答同意的银票和财票于当日首个批量清算场次完成资金清算；商票、未付款确认的纸质银票于当日承兑人应答同意后的下一批量清算场次完成资金清算。已登记止付信息或冻结信息的银票和财票</w:t>
      </w:r>
      <w:r>
        <w:rPr>
          <w:rFonts w:hint="eastAsia" w:ascii="仿宋" w:hAnsi="仿宋" w:eastAsia="仿宋" w:cs="仿宋"/>
          <w:bCs/>
          <w:sz w:val="32"/>
          <w:szCs w:val="32"/>
          <w:lang w:eastAsia="zh-CN" w:bidi="ar"/>
        </w:rPr>
        <w:t>，在解除止付信息或冻结信息后，于当日承兑人应答同意后的下一批量清算场次完成资金清算。</w:t>
      </w:r>
      <w:r>
        <w:rPr>
          <w:rFonts w:hint="eastAsia" w:ascii="仿宋" w:hAnsi="仿宋" w:eastAsia="仿宋" w:cs="仿宋"/>
          <w:bCs/>
          <w:sz w:val="32"/>
          <w:szCs w:val="32"/>
          <w:lang w:bidi="ar"/>
        </w:rPr>
        <w:t>若承兑人于当日最晚批量清算场次开始后应答同意的，不纳入批量清算场次，采用逐笔清算方式完成资金清算。</w:t>
      </w:r>
    </w:p>
    <w:p>
      <w:pPr>
        <w:spacing w:line="590" w:lineRule="exact"/>
        <w:ind w:firstLine="643" w:firstLineChars="200"/>
      </w:pPr>
      <w:r>
        <w:rPr>
          <w:rFonts w:hint="eastAsia" w:ascii="仿宋" w:hAnsi="仿宋" w:eastAsia="仿宋" w:cs="仿宋"/>
          <w:b/>
          <w:bCs/>
          <w:sz w:val="32"/>
          <w:szCs w:val="32"/>
        </w:rPr>
        <w:t>[批量清算业务</w:t>
      </w:r>
      <w:r>
        <w:rPr>
          <w:rFonts w:hint="eastAsia" w:ascii="仿宋" w:hAnsi="仿宋" w:eastAsia="仿宋" w:cs="仿宋"/>
          <w:b/>
          <w:sz w:val="32"/>
          <w:szCs w:val="32"/>
          <w:lang w:bidi="ar"/>
        </w:rPr>
        <w:t>权限</w:t>
      </w:r>
      <w:r>
        <w:rPr>
          <w:rFonts w:hint="eastAsia" w:ascii="仿宋" w:hAnsi="仿宋" w:eastAsia="仿宋" w:cs="仿宋"/>
          <w:b/>
          <w:bCs/>
          <w:sz w:val="32"/>
          <w:szCs w:val="32"/>
        </w:rPr>
        <w:t>]</w:t>
      </w:r>
    </w:p>
    <w:p>
      <w:pPr>
        <w:pStyle w:val="16"/>
        <w:widowControl/>
        <w:autoSpaceDN w:val="0"/>
        <w:spacing w:beforeAutospacing="0" w:afterAutospacing="0" w:line="590" w:lineRule="exact"/>
        <w:ind w:firstLine="640" w:firstLineChars="200"/>
        <w:jc w:val="both"/>
        <w:rPr>
          <w:rFonts w:ascii="仿宋" w:hAnsi="仿宋" w:eastAsia="仿宋" w:cs="仿宋"/>
          <w:sz w:val="32"/>
          <w:szCs w:val="32"/>
          <w:lang w:bidi="ar"/>
        </w:rPr>
      </w:pPr>
      <w:r>
        <w:rPr>
          <w:rFonts w:hint="eastAsia" w:ascii="仿宋" w:hAnsi="仿宋" w:eastAsia="仿宋" w:cs="仿宋"/>
          <w:sz w:val="32"/>
          <w:szCs w:val="32"/>
          <w:lang w:bidi="ar"/>
        </w:rPr>
        <w:t>金融机构法人、非法人产品可根据业务需要，向票交所申请开通批量清算业务权限。</w:t>
      </w:r>
    </w:p>
    <w:p>
      <w:pPr>
        <w:pStyle w:val="16"/>
        <w:widowControl/>
        <w:autoSpaceDN w:val="0"/>
        <w:spacing w:beforeAutospacing="0" w:afterAutospacing="0" w:line="590" w:lineRule="exact"/>
        <w:ind w:firstLine="640" w:firstLineChars="200"/>
        <w:jc w:val="both"/>
        <w:rPr>
          <w:rFonts w:ascii="仿宋" w:hAnsi="仿宋" w:eastAsia="仿宋" w:cs="仿宋"/>
          <w:sz w:val="32"/>
          <w:szCs w:val="32"/>
        </w:rPr>
      </w:pPr>
      <w:r>
        <w:rPr>
          <w:rFonts w:hint="eastAsia" w:ascii="仿宋" w:hAnsi="仿宋" w:eastAsia="仿宋" w:cs="仿宋"/>
          <w:sz w:val="32"/>
          <w:szCs w:val="32"/>
          <w:lang w:bidi="ar"/>
        </w:rPr>
        <w:t>金融机构法人、非法人产品一年之内因资金账户余额不足导致批量清算失败次数累计超过3次的，取消其批量清算业务权限，其资金清算采用逐笔清算方式。</w:t>
      </w:r>
    </w:p>
    <w:p>
      <w:pPr>
        <w:spacing w:line="590" w:lineRule="exact"/>
        <w:ind w:firstLine="640" w:firstLineChars="200"/>
        <w:rPr>
          <w:rFonts w:ascii="仿宋" w:hAnsi="仿宋" w:eastAsia="仿宋" w:cs="仿宋"/>
          <w:kern w:val="0"/>
          <w:sz w:val="32"/>
          <w:szCs w:val="32"/>
          <w:lang w:bidi="ar"/>
        </w:rPr>
      </w:pPr>
      <w:r>
        <w:rPr>
          <w:rFonts w:hint="eastAsia" w:ascii="仿宋" w:hAnsi="仿宋" w:eastAsia="仿宋" w:cs="仿宋"/>
          <w:sz w:val="32"/>
          <w:szCs w:val="32"/>
          <w:lang w:bidi="ar"/>
        </w:rPr>
        <w:t>被取消批量清算业务权限的金融机构法人、非法人产品符合票交所相关规定后，可重新申请开通批量清算业务权</w:t>
      </w:r>
      <w:r>
        <w:rPr>
          <w:rFonts w:hint="eastAsia" w:ascii="仿宋" w:hAnsi="仿宋" w:eastAsia="仿宋" w:cs="仿宋"/>
          <w:kern w:val="0"/>
          <w:sz w:val="32"/>
          <w:szCs w:val="32"/>
          <w:lang w:bidi="ar"/>
        </w:rPr>
        <w:t>限。</w:t>
      </w:r>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3"/>
        <w:rPr>
          <w:rFonts w:ascii="仿宋" w:hAnsi="仿宋" w:eastAsia="仿宋" w:cs="仿宋"/>
          <w:b/>
          <w:sz w:val="32"/>
          <w:szCs w:val="32"/>
        </w:rPr>
      </w:pPr>
      <w:r>
        <w:rPr>
          <w:rFonts w:hint="eastAsia" w:ascii="仿宋" w:hAnsi="仿宋" w:eastAsia="仿宋" w:cs="仿宋"/>
          <w:b/>
          <w:sz w:val="32"/>
          <w:szCs w:val="32"/>
        </w:rPr>
        <w:t xml:space="preserve">8.1.2.4 </w:t>
      </w:r>
      <w:r>
        <w:rPr>
          <w:rFonts w:hint="eastAsia" w:ascii="仿宋" w:hAnsi="仿宋" w:eastAsia="仿宋" w:cs="仿宋"/>
          <w:b/>
          <w:sz w:val="32"/>
          <w:szCs w:val="32"/>
          <w:lang w:bidi="ar"/>
        </w:rPr>
        <w:t>清算速度</w:t>
      </w:r>
    </w:p>
    <w:p>
      <w:pPr>
        <w:spacing w:line="590" w:lineRule="exact"/>
        <w:ind w:firstLine="640" w:firstLineChars="200"/>
      </w:pPr>
      <w:r>
        <w:rPr>
          <w:rFonts w:hint="eastAsia" w:ascii="仿宋" w:hAnsi="仿宋" w:eastAsia="仿宋" w:cs="仿宋"/>
          <w:sz w:val="32"/>
          <w:szCs w:val="32"/>
        </w:rPr>
        <w:t>清算速度为T+1的，按以下规则处理：</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1.交易类业务，于</w:t>
      </w:r>
      <w:r>
        <w:rPr>
          <w:rFonts w:hint="eastAsia" w:ascii="仿宋" w:hAnsi="仿宋" w:eastAsia="仿宋" w:cs="仿宋"/>
          <w:sz w:val="32"/>
          <w:szCs w:val="32"/>
          <w:lang w:eastAsia="zh-CN" w:bidi="ar"/>
        </w:rPr>
        <w:t>下</w:t>
      </w:r>
      <w:r>
        <w:rPr>
          <w:rFonts w:hint="eastAsia" w:ascii="仿宋" w:hAnsi="仿宋" w:eastAsia="仿宋" w:cs="仿宋"/>
          <w:sz w:val="32"/>
          <w:szCs w:val="32"/>
          <w:lang w:bidi="ar"/>
        </w:rPr>
        <w:t>一</w:t>
      </w:r>
      <w:r>
        <w:rPr>
          <w:rFonts w:hint="eastAsia" w:ascii="仿宋" w:hAnsi="仿宋" w:eastAsia="仿宋" w:cs="仿宋"/>
          <w:sz w:val="32"/>
          <w:szCs w:val="32"/>
          <w:lang w:eastAsia="zh-CN" w:bidi="ar"/>
        </w:rPr>
        <w:t>营业日</w:t>
      </w:r>
      <w:r>
        <w:rPr>
          <w:rFonts w:hint="eastAsia" w:ascii="仿宋" w:hAnsi="仿宋" w:eastAsia="仿宋" w:cs="仿宋"/>
          <w:sz w:val="32"/>
          <w:szCs w:val="32"/>
          <w:lang w:bidi="ar"/>
        </w:rPr>
        <w:t>清算结算业务时序开始后，采用逐笔清算方式自动完成清算。交易类业务包括但不限于转贴现、质押式回购首期、再贴现质押式回购首期、买断式回购首期业务。</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2.下列业务在当日清算结算业务时序结束后办理的，于</w:t>
      </w:r>
      <w:r>
        <w:rPr>
          <w:rFonts w:hint="eastAsia" w:ascii="仿宋" w:hAnsi="仿宋" w:eastAsia="仿宋" w:cs="仿宋"/>
          <w:sz w:val="32"/>
          <w:szCs w:val="32"/>
          <w:lang w:eastAsia="zh-CN" w:bidi="ar"/>
        </w:rPr>
        <w:t>下</w:t>
      </w:r>
      <w:r>
        <w:rPr>
          <w:rFonts w:hint="eastAsia" w:ascii="仿宋" w:hAnsi="仿宋" w:eastAsia="仿宋" w:cs="仿宋"/>
          <w:sz w:val="32"/>
          <w:szCs w:val="32"/>
          <w:lang w:bidi="ar"/>
        </w:rPr>
        <w:t>一</w:t>
      </w:r>
      <w:r>
        <w:rPr>
          <w:rFonts w:hint="eastAsia" w:ascii="仿宋" w:hAnsi="仿宋" w:eastAsia="仿宋" w:cs="仿宋"/>
          <w:sz w:val="32"/>
          <w:szCs w:val="32"/>
          <w:lang w:eastAsia="zh-CN" w:bidi="ar"/>
        </w:rPr>
        <w:t>营业日</w:t>
      </w:r>
      <w:r>
        <w:rPr>
          <w:rFonts w:hint="eastAsia" w:ascii="仿宋" w:hAnsi="仿宋" w:eastAsia="仿宋" w:cs="仿宋"/>
          <w:sz w:val="32"/>
          <w:szCs w:val="32"/>
          <w:lang w:bidi="ar"/>
        </w:rPr>
        <w:t>清算结算业务时序开始后，采用逐笔清算方式自动完成清算：</w:t>
      </w:r>
    </w:p>
    <w:p>
      <w:pPr>
        <w:spacing w:line="590" w:lineRule="exact"/>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bidi="ar"/>
        </w:rPr>
        <w:t>（1）对于到期或期后提示付款业务，商票、未付款确认的纸质银票和财票，在当日清算结算业务时序结束后应答为同意付款的；已登记止付信息或冻结信息的银票和财票</w:t>
      </w:r>
      <w:r>
        <w:rPr>
          <w:rFonts w:hint="eastAsia" w:ascii="仿宋" w:hAnsi="仿宋" w:eastAsia="仿宋" w:cs="仿宋"/>
          <w:sz w:val="32"/>
          <w:szCs w:val="32"/>
          <w:lang w:eastAsia="zh-CN" w:bidi="ar"/>
        </w:rPr>
        <w:t>，在解除止付信息或冻结信息后，并在当日清算结算业务时序结束后应答为同意付款的。</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（2）到期或期后提示付款业务的待应答扣款确认申请，在当日清算结算业务时序结束后应答为同意付款的。</w:t>
      </w:r>
    </w:p>
    <w:p>
      <w:pPr>
        <w:spacing w:line="590" w:lineRule="exact"/>
        <w:ind w:firstLine="640" w:firstLineChars="200"/>
        <w:rPr>
          <w:rFonts w:ascii="仿宋" w:hAnsi="仿宋" w:eastAsia="仿宋" w:cs="仿宋"/>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lang w:bidi="ar"/>
        </w:rPr>
      </w:pPr>
      <w:bookmarkStart w:id="1897" w:name="_Toc9054"/>
      <w:bookmarkStart w:id="1898" w:name="_Toc13461"/>
      <w:bookmarkStart w:id="1899" w:name="_Toc23270"/>
      <w:bookmarkStart w:id="1900" w:name="_Toc1750"/>
      <w:bookmarkStart w:id="1901" w:name="_Toc7290"/>
      <w:bookmarkStart w:id="1902" w:name="_Toc7872"/>
      <w:bookmarkStart w:id="1903" w:name="_Toc20602"/>
      <w:bookmarkStart w:id="1904" w:name="_Toc334103050"/>
      <w:bookmarkStart w:id="1905" w:name="_Toc10826"/>
      <w:bookmarkStart w:id="1906" w:name="_Toc7445"/>
      <w:bookmarkStart w:id="1907" w:name="_Toc11356"/>
      <w:bookmarkStart w:id="1908" w:name="_Toc28848"/>
      <w:bookmarkStart w:id="1909" w:name="_Toc15284"/>
      <w:bookmarkStart w:id="1910" w:name="_Toc27295"/>
      <w:r>
        <w:rPr>
          <w:rFonts w:ascii="仿宋" w:hAnsi="仿宋" w:eastAsia="仿宋" w:cs="仿宋"/>
          <w:b/>
          <w:bCs/>
          <w:sz w:val="32"/>
          <w:szCs w:val="32"/>
          <w:lang w:bidi="ar"/>
        </w:rPr>
        <w:t>8.</w:t>
      </w:r>
      <w:r>
        <w:rPr>
          <w:rFonts w:hint="eastAsia" w:ascii="仿宋" w:hAnsi="仿宋" w:eastAsia="仿宋" w:cs="仿宋"/>
          <w:b/>
          <w:bCs/>
          <w:sz w:val="32"/>
          <w:szCs w:val="32"/>
          <w:lang w:bidi="ar"/>
        </w:rPr>
        <w:t>1</w:t>
      </w:r>
      <w:r>
        <w:rPr>
          <w:rFonts w:ascii="仿宋" w:hAnsi="仿宋" w:eastAsia="仿宋" w:cs="仿宋"/>
          <w:b/>
          <w:bCs/>
          <w:sz w:val="32"/>
          <w:szCs w:val="32"/>
          <w:lang w:bidi="ar"/>
        </w:rPr>
        <w:t>.3 业务流程</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spacing w:line="590" w:lineRule="exact"/>
        <w:ind w:firstLine="643" w:firstLineChars="200"/>
        <w:outlineLvl w:val="3"/>
        <w:rPr>
          <w:rFonts w:ascii="仿宋" w:hAnsi="仿宋" w:eastAsia="仿宋" w:cs="仿宋"/>
          <w:b/>
          <w:sz w:val="32"/>
          <w:szCs w:val="32"/>
          <w:lang w:bidi="ar"/>
        </w:rPr>
      </w:pPr>
      <w:bookmarkStart w:id="1911" w:name="_Toc30603"/>
      <w:bookmarkStart w:id="1912" w:name="_Toc12417"/>
      <w:r>
        <w:rPr>
          <w:rFonts w:hint="eastAsia" w:ascii="仿宋" w:hAnsi="仿宋" w:eastAsia="仿宋" w:cs="仿宋"/>
          <w:b/>
          <w:sz w:val="32"/>
          <w:szCs w:val="32"/>
          <w:lang w:bidi="ar"/>
        </w:rPr>
        <w:t>8.1.3.1 逐笔清算流程</w:t>
      </w:r>
      <w:bookmarkEnd w:id="1911"/>
      <w:bookmarkEnd w:id="1912"/>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1.计算结算金额</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单笔票据业务提交结算请求后，按照该笔业务实际金额生成结算指令。</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2.发起结算指令</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（1）收付款双方任意一方使用人行清算账户的，票交所根据结算指令向大额支付系统发送即时转账申请，将单笔票据结算资金从付款方资金账户扣划至收款方资金账户。</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（2）收付款双方均使用会员资金账户的，票交所根据结算指令直接向付款方会员资金账户发送扣款指令，将单笔票据结算资金从付款方会员资金账户扣划至收款方会员资金账户。</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3.清算结果</w:t>
      </w:r>
    </w:p>
    <w:p>
      <w:pPr>
        <w:numPr>
          <w:ilvl w:val="0"/>
          <w:numId w:val="29"/>
        </w:num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付款方资金账户余额充足的，将付款方资金扣划至收款方资金账户，判定清算成功。</w:t>
      </w:r>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lang w:bidi="ar"/>
        </w:rPr>
        <w:t>（2）</w:t>
      </w:r>
      <w:r>
        <w:rPr>
          <w:rFonts w:hint="eastAsia" w:ascii="仿宋" w:hAnsi="仿宋" w:eastAsia="仿宋" w:cs="仿宋"/>
          <w:sz w:val="32"/>
          <w:szCs w:val="32"/>
        </w:rPr>
        <w:t>付款方资金账户余额不足的，按照以下规则处理：</w:t>
      </w:r>
    </w:p>
    <w:p>
      <w:pPr>
        <w:spacing w:line="590" w:lineRule="exact"/>
        <w:ind w:firstLine="640" w:firstLineChars="200"/>
        <w:rPr>
          <w:rFonts w:ascii="仿宋" w:hAnsi="仿宋" w:eastAsia="仿宋" w:cs="仿宋"/>
          <w:sz w:val="32"/>
          <w:szCs w:val="32"/>
        </w:rPr>
      </w:pPr>
      <w:r>
        <w:rPr>
          <w:rFonts w:hint="eastAsia" w:ascii="微软雅黑" w:hAnsi="微软雅黑" w:eastAsia="微软雅黑" w:cs="微软雅黑"/>
          <w:sz w:val="32"/>
          <w:szCs w:val="32"/>
        </w:rPr>
        <w:t>①</w:t>
      </w:r>
      <w:r>
        <w:rPr>
          <w:rFonts w:hint="eastAsia" w:ascii="仿宋" w:hAnsi="仿宋" w:eastAsia="仿宋" w:cs="仿宋"/>
          <w:sz w:val="32"/>
          <w:szCs w:val="32"/>
          <w:lang w:bidi="ar"/>
        </w:rPr>
        <w:t>转贴现交易、质押式回购、买断式回购交易的首期结算等业务</w:t>
      </w:r>
      <w:r>
        <w:rPr>
          <w:rFonts w:hint="eastAsia" w:ascii="仿宋" w:hAnsi="仿宋" w:eastAsia="仿宋" w:cs="仿宋"/>
          <w:sz w:val="32"/>
          <w:szCs w:val="32"/>
        </w:rPr>
        <w:t>进行清算排队，</w:t>
      </w:r>
      <w:r>
        <w:rPr>
          <w:rFonts w:hint="eastAsia" w:ascii="仿宋" w:hAnsi="仿宋" w:eastAsia="仿宋" w:cs="仿宋"/>
          <w:sz w:val="32"/>
          <w:szCs w:val="32"/>
          <w:lang w:bidi="ar"/>
        </w:rPr>
        <w:t>截至交易双方约定的最晚结算时间，付款方资金不足的，判定为清算失败。</w:t>
      </w:r>
    </w:p>
    <w:p>
      <w:pPr>
        <w:spacing w:line="590" w:lineRule="exact"/>
        <w:ind w:firstLine="640" w:firstLineChars="200"/>
        <w:rPr>
          <w:rFonts w:ascii="仿宋" w:hAnsi="仿宋" w:eastAsia="仿宋" w:cs="仿宋"/>
          <w:sz w:val="32"/>
          <w:szCs w:val="32"/>
          <w:lang w:bidi="ar"/>
        </w:rPr>
      </w:pPr>
      <w:r>
        <w:rPr>
          <w:rFonts w:hint="eastAsia" w:ascii="微软雅黑" w:hAnsi="微软雅黑" w:eastAsia="微软雅黑" w:cs="微软雅黑"/>
          <w:sz w:val="32"/>
          <w:szCs w:val="32"/>
          <w:lang w:bidi="ar"/>
        </w:rPr>
        <w:t>②</w:t>
      </w:r>
      <w:r>
        <w:rPr>
          <w:rFonts w:hint="eastAsia" w:ascii="仿宋" w:hAnsi="仿宋" w:eastAsia="仿宋" w:cs="仿宋"/>
          <w:sz w:val="32"/>
          <w:szCs w:val="32"/>
          <w:lang w:bidi="ar"/>
        </w:rPr>
        <w:t>对质押式回购、买断式回购交易的到期结算业务以及提前提示付款、到期提示付款、贴现、回购式贴现赎回等业务</w:t>
      </w:r>
      <w:r>
        <w:rPr>
          <w:rFonts w:hint="eastAsia" w:ascii="仿宋" w:hAnsi="仿宋" w:eastAsia="仿宋" w:cs="仿宋"/>
          <w:sz w:val="32"/>
          <w:szCs w:val="32"/>
        </w:rPr>
        <w:t>进行清算排队，</w:t>
      </w:r>
      <w:r>
        <w:rPr>
          <w:rFonts w:hint="eastAsia" w:ascii="仿宋" w:hAnsi="仿宋" w:eastAsia="仿宋" w:cs="仿宋"/>
          <w:sz w:val="32"/>
          <w:szCs w:val="32"/>
          <w:lang w:bidi="ar"/>
        </w:rPr>
        <w:t>截至当日清算截止时间，付款方资金不足的，判定为清算失败。</w:t>
      </w:r>
    </w:p>
    <w:p>
      <w:pPr>
        <w:spacing w:line="590" w:lineRule="exact"/>
        <w:ind w:firstLine="640" w:firstLineChars="200"/>
        <w:rPr>
          <w:rFonts w:ascii="仿宋" w:hAnsi="仿宋" w:eastAsia="仿宋" w:cs="仿宋"/>
          <w:sz w:val="32"/>
          <w:szCs w:val="32"/>
          <w:lang w:bidi="ar"/>
        </w:rPr>
      </w:pPr>
      <w:r>
        <w:rPr>
          <w:rFonts w:hint="eastAsia" w:ascii="微软雅黑" w:hAnsi="微软雅黑" w:eastAsia="微软雅黑" w:cs="微软雅黑"/>
          <w:sz w:val="32"/>
          <w:szCs w:val="32"/>
          <w:lang w:bidi="ar"/>
        </w:rPr>
        <w:t>③</w:t>
      </w:r>
      <w:r>
        <w:rPr>
          <w:rFonts w:hint="eastAsia" w:ascii="仿宋" w:hAnsi="仿宋" w:eastAsia="仿宋" w:cs="仿宋"/>
          <w:sz w:val="32"/>
          <w:szCs w:val="32"/>
          <w:lang w:bidi="ar"/>
        </w:rPr>
        <w:t>对期后提示付款、追索，付款方若资金不足</w:t>
      </w:r>
      <w:r>
        <w:rPr>
          <w:rFonts w:hint="eastAsia" w:ascii="仿宋" w:hAnsi="仿宋" w:eastAsia="仿宋" w:cs="仿宋"/>
          <w:sz w:val="32"/>
          <w:szCs w:val="32"/>
          <w:lang w:eastAsia="zh-CN" w:bidi="ar"/>
        </w:rPr>
        <w:t>的，</w:t>
      </w:r>
      <w:r>
        <w:rPr>
          <w:rFonts w:hint="eastAsia" w:ascii="仿宋" w:hAnsi="仿宋" w:eastAsia="仿宋" w:cs="仿宋"/>
          <w:sz w:val="32"/>
          <w:szCs w:val="32"/>
          <w:lang w:bidi="ar"/>
        </w:rPr>
        <w:t>不进行清算排队，直接判定为清算失败。</w:t>
      </w:r>
    </w:p>
    <w:p>
      <w:pPr>
        <w:spacing w:line="590" w:lineRule="exact"/>
        <w:ind w:firstLine="640" w:firstLineChars="200"/>
        <w:rPr>
          <w:rFonts w:ascii="仿宋" w:hAnsi="仿宋" w:eastAsia="仿宋" w:cs="仿宋"/>
          <w:sz w:val="32"/>
          <w:szCs w:val="32"/>
          <w:lang w:bidi="ar"/>
        </w:rPr>
      </w:pPr>
      <w:r>
        <w:rPr>
          <w:rFonts w:hint="eastAsia" w:ascii="微软雅黑" w:hAnsi="微软雅黑" w:eastAsia="微软雅黑" w:cs="微软雅黑"/>
          <w:sz w:val="32"/>
          <w:szCs w:val="32"/>
        </w:rPr>
        <w:t>④</w:t>
      </w:r>
      <w:r>
        <w:rPr>
          <w:rFonts w:hint="eastAsia" w:ascii="仿宋" w:hAnsi="仿宋" w:eastAsia="仿宋" w:cs="仿宋"/>
          <w:sz w:val="32"/>
          <w:szCs w:val="32"/>
        </w:rPr>
        <w:t>对清算速度为T+1的非交易类</w:t>
      </w:r>
      <w:r>
        <w:rPr>
          <w:rFonts w:hint="eastAsia" w:ascii="仿宋" w:hAnsi="仿宋" w:eastAsia="仿宋" w:cs="仿宋"/>
          <w:sz w:val="32"/>
          <w:szCs w:val="32"/>
          <w:lang w:bidi="ar"/>
        </w:rPr>
        <w:t>业务，付款方若资金不足</w:t>
      </w:r>
      <w:r>
        <w:rPr>
          <w:rFonts w:hint="eastAsia" w:ascii="仿宋" w:hAnsi="仿宋" w:eastAsia="仿宋" w:cs="仿宋"/>
          <w:sz w:val="32"/>
          <w:szCs w:val="32"/>
          <w:lang w:eastAsia="zh-CN" w:bidi="ar"/>
        </w:rPr>
        <w:t>的，</w:t>
      </w:r>
      <w:r>
        <w:rPr>
          <w:rFonts w:hint="eastAsia" w:ascii="仿宋" w:hAnsi="仿宋" w:eastAsia="仿宋" w:cs="仿宋"/>
          <w:sz w:val="32"/>
          <w:szCs w:val="32"/>
          <w:lang w:bidi="ar"/>
        </w:rPr>
        <w:t>不进行清算排队，直接判定为清算失败。</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4.结算结果查询</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直接业务参与者可以通过票交所查询结算结果。</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对于清算成功的票据业务</w:t>
      </w:r>
      <w:r>
        <w:rPr>
          <w:rFonts w:hint="eastAsia" w:ascii="仿宋" w:hAnsi="仿宋" w:eastAsia="仿宋" w:cs="仿宋"/>
          <w:sz w:val="32"/>
          <w:szCs w:val="32"/>
          <w:lang w:bidi="ar"/>
        </w:rPr>
        <w:t>，</w:t>
      </w:r>
      <w:r>
        <w:rPr>
          <w:rFonts w:hint="eastAsia" w:ascii="仿宋" w:hAnsi="仿宋" w:eastAsia="仿宋" w:cs="仿宋"/>
          <w:bCs/>
          <w:sz w:val="32"/>
          <w:szCs w:val="32"/>
          <w:lang w:bidi="ar"/>
        </w:rPr>
        <w:t>使用</w:t>
      </w:r>
      <w:r>
        <w:rPr>
          <w:rFonts w:hint="eastAsia" w:ascii="仿宋" w:hAnsi="仿宋" w:eastAsia="仿宋" w:cs="仿宋"/>
          <w:sz w:val="32"/>
          <w:szCs w:val="32"/>
          <w:lang w:bidi="ar"/>
        </w:rPr>
        <w:t>会员资金账户的收款人</w:t>
      </w:r>
      <w:r>
        <w:rPr>
          <w:rFonts w:hint="eastAsia" w:ascii="仿宋" w:hAnsi="仿宋" w:eastAsia="仿宋" w:cs="仿宋"/>
          <w:bCs/>
          <w:sz w:val="32"/>
          <w:szCs w:val="32"/>
          <w:lang w:bidi="ar"/>
        </w:rPr>
        <w:t>开户行</w:t>
      </w:r>
      <w:r>
        <w:rPr>
          <w:rFonts w:hint="eastAsia" w:ascii="仿宋" w:hAnsi="仿宋" w:eastAsia="仿宋" w:cs="仿宋"/>
          <w:sz w:val="32"/>
          <w:szCs w:val="32"/>
          <w:lang w:bidi="ar"/>
        </w:rPr>
        <w:t>应当根据票交所提供的结算结果通知及时将相关结算资金划转至对应的收款</w:t>
      </w:r>
      <w:r>
        <w:rPr>
          <w:rFonts w:ascii="仿宋" w:hAnsi="仿宋" w:eastAsia="仿宋" w:cs="仿宋"/>
          <w:bCs/>
          <w:sz w:val="32"/>
          <w:szCs w:val="32"/>
          <w:lang w:bidi="ar"/>
        </w:rPr>
        <w:t>人账户。</w:t>
      </w:r>
    </w:p>
    <w:p>
      <w:pPr>
        <w:spacing w:line="590" w:lineRule="exact"/>
        <w:ind w:firstLine="640" w:firstLineChars="200"/>
        <w:rPr>
          <w:rFonts w:ascii="仿宋" w:hAnsi="仿宋" w:eastAsia="仿宋" w:cs="仿宋"/>
          <w:bCs/>
          <w:sz w:val="32"/>
          <w:szCs w:val="32"/>
          <w:lang w:bidi="ar"/>
        </w:rPr>
      </w:pPr>
      <w:r>
        <w:rPr>
          <w:rFonts w:ascii="仿宋" w:hAnsi="仿宋" w:eastAsia="仿宋" w:cs="仿宋"/>
          <w:bCs/>
          <w:sz w:val="32"/>
          <w:szCs w:val="32"/>
          <w:lang w:bidi="ar"/>
        </w:rPr>
        <w:t>持票人的参与者服务机构为供应链平台的，持票人结算账户开户银行收到已清算的即时转账报文，应当按照《大额支付系统业务处理手续》的相关规定，及时进行相应账务处理。</w:t>
      </w:r>
    </w:p>
    <w:p>
      <w:pPr>
        <w:spacing w:line="590" w:lineRule="exact"/>
        <w:ind w:firstLine="643" w:firstLineChars="200"/>
        <w:outlineLvl w:val="3"/>
        <w:rPr>
          <w:rFonts w:ascii="仿宋" w:hAnsi="仿宋" w:eastAsia="仿宋" w:cs="仿宋"/>
          <w:b/>
          <w:sz w:val="32"/>
          <w:szCs w:val="32"/>
        </w:rPr>
      </w:pPr>
      <w:bookmarkStart w:id="1913" w:name="_Toc9130"/>
      <w:bookmarkStart w:id="1914" w:name="_Toc6480"/>
      <w:r>
        <w:rPr>
          <w:rFonts w:hint="eastAsia" w:ascii="仿宋" w:hAnsi="仿宋" w:eastAsia="仿宋" w:cs="仿宋"/>
          <w:b/>
          <w:sz w:val="32"/>
          <w:szCs w:val="32"/>
          <w:lang w:bidi="ar"/>
        </w:rPr>
        <w:t>8.1.3.2 批量清算流程</w:t>
      </w:r>
      <w:bookmarkEnd w:id="1913"/>
      <w:bookmarkEnd w:id="1914"/>
    </w:p>
    <w:p>
      <w:pPr>
        <w:spacing w:line="590" w:lineRule="exact"/>
        <w:ind w:firstLine="640" w:firstLineChars="200"/>
        <w:rPr>
          <w:rFonts w:ascii="仿宋" w:hAnsi="仿宋" w:eastAsia="仿宋" w:cs="仿宋"/>
          <w:b/>
          <w:sz w:val="32"/>
          <w:szCs w:val="32"/>
          <w:lang w:bidi="ar"/>
        </w:rPr>
      </w:pPr>
      <w:r>
        <w:rPr>
          <w:rFonts w:hint="eastAsia" w:ascii="仿宋" w:hAnsi="仿宋" w:eastAsia="仿宋" w:cs="仿宋"/>
          <w:sz w:val="32"/>
          <w:szCs w:val="32"/>
          <w:lang w:bidi="ar"/>
        </w:rPr>
        <w:t>批量清算分为统收业务清算流程、统付业务清算流程等步骤。</w:t>
      </w:r>
    </w:p>
    <w:p>
      <w:pPr>
        <w:spacing w:line="590" w:lineRule="exact"/>
        <w:ind w:firstLine="643" w:firstLineChars="200"/>
        <w:rPr>
          <w:rFonts w:ascii="仿宋" w:hAnsi="仿宋" w:eastAsia="仿宋" w:cs="仿宋"/>
          <w:b/>
          <w:sz w:val="32"/>
          <w:szCs w:val="32"/>
          <w:lang w:bidi="ar"/>
        </w:rPr>
      </w:pPr>
      <w:r>
        <w:rPr>
          <w:rFonts w:hint="eastAsia" w:ascii="仿宋" w:hAnsi="仿宋" w:eastAsia="仿宋" w:cs="仿宋"/>
          <w:b/>
          <w:sz w:val="32"/>
          <w:szCs w:val="32"/>
          <w:lang w:bidi="ar"/>
        </w:rPr>
        <w:t>1.统收业务流程</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（1）计算应付资金总额</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进入批量清算场次开始时点，票交所将金融机构法人、非法人产品作为清算维度，计算其纳入本场次批量清算票据业务的应付资金总额，并根据应付资金总额生成统收结算指令。</w:t>
      </w:r>
    </w:p>
    <w:p>
      <w:pPr>
        <w:spacing w:line="590" w:lineRule="exact"/>
        <w:ind w:firstLine="640" w:firstLineChars="200"/>
        <w:rPr>
          <w:rFonts w:ascii="仿宋" w:hAnsi="仿宋" w:eastAsia="仿宋" w:cs="仿宋"/>
          <w:bCs/>
          <w:sz w:val="32"/>
          <w:szCs w:val="32"/>
          <w:lang w:bidi="ar"/>
        </w:rPr>
      </w:pPr>
      <w:r>
        <w:rPr>
          <w:rFonts w:hint="eastAsia" w:ascii="仿宋" w:hAnsi="仿宋" w:eastAsia="仿宋" w:cs="仿宋"/>
          <w:bCs/>
          <w:sz w:val="32"/>
          <w:szCs w:val="32"/>
          <w:lang w:bidi="ar"/>
        </w:rPr>
        <w:t>（2）发起统收结算指令</w:t>
      </w:r>
    </w:p>
    <w:p>
      <w:pPr>
        <w:spacing w:line="590" w:lineRule="exact"/>
        <w:ind w:firstLine="640" w:firstLineChars="200"/>
        <w:rPr>
          <w:rFonts w:ascii="仿宋" w:hAnsi="仿宋" w:eastAsia="仿宋" w:cs="仿宋"/>
          <w:bCs/>
          <w:sz w:val="32"/>
          <w:szCs w:val="32"/>
          <w:lang w:bidi="ar"/>
        </w:rPr>
      </w:pPr>
      <w:r>
        <w:rPr>
          <w:rFonts w:hint="eastAsia" w:ascii="微软雅黑" w:hAnsi="微软雅黑" w:eastAsia="微软雅黑" w:cs="微软雅黑"/>
          <w:sz w:val="32"/>
          <w:szCs w:val="32"/>
        </w:rPr>
        <w:t>①</w:t>
      </w:r>
      <w:r>
        <w:rPr>
          <w:rFonts w:hint="eastAsia" w:ascii="仿宋" w:hAnsi="仿宋" w:eastAsia="仿宋" w:cs="仿宋"/>
          <w:bCs/>
          <w:sz w:val="32"/>
          <w:szCs w:val="32"/>
          <w:lang w:bidi="ar"/>
        </w:rPr>
        <w:t>付款方使用人行清算账户的，票交所根据统收结算指令向大额支付系统发送即时转账申请，将汇总计算的票据结算资金应付总额从付款方资金账户扣划至票交所“批量清算专户”。</w:t>
      </w:r>
    </w:p>
    <w:p>
      <w:pPr>
        <w:spacing w:line="590" w:lineRule="exact"/>
        <w:ind w:firstLine="640" w:firstLineChars="200"/>
        <w:rPr>
          <w:rFonts w:ascii="仿宋" w:hAnsi="仿宋" w:eastAsia="仿宋" w:cs="仿宋"/>
          <w:bCs/>
          <w:sz w:val="32"/>
          <w:szCs w:val="32"/>
          <w:lang w:bidi="ar"/>
        </w:rPr>
      </w:pPr>
      <w:r>
        <w:rPr>
          <w:rFonts w:hint="eastAsia" w:ascii="微软雅黑" w:hAnsi="微软雅黑" w:eastAsia="微软雅黑" w:cs="微软雅黑"/>
          <w:sz w:val="32"/>
          <w:szCs w:val="32"/>
          <w:lang w:bidi="ar"/>
        </w:rPr>
        <w:t>②</w:t>
      </w:r>
      <w:r>
        <w:rPr>
          <w:rFonts w:hint="eastAsia" w:ascii="仿宋" w:hAnsi="仿宋" w:eastAsia="仿宋" w:cs="仿宋"/>
          <w:bCs/>
          <w:sz w:val="32"/>
          <w:szCs w:val="32"/>
          <w:lang w:bidi="ar"/>
        </w:rPr>
        <w:t>付款方使用会员资金账户的，票交所根据统收结算指令直接向付款方会员资金账户发送扣款指令，将汇总计算的票据结算资金应付总额从付款方资金账户扣划至票交所“批量清算专户”。</w:t>
      </w:r>
    </w:p>
    <w:p>
      <w:pPr>
        <w:numPr>
          <w:ilvl w:val="255"/>
          <w:numId w:val="0"/>
        </w:numPr>
        <w:spacing w:line="590" w:lineRule="exact"/>
        <w:ind w:firstLine="643" w:firstLineChars="200"/>
        <w:rPr>
          <w:rFonts w:ascii="仿宋" w:hAnsi="仿宋" w:eastAsia="仿宋" w:cs="仿宋"/>
          <w:sz w:val="32"/>
          <w:szCs w:val="32"/>
          <w:lang w:bidi="ar"/>
        </w:rPr>
      </w:pPr>
      <w:r>
        <w:rPr>
          <w:rFonts w:hint="eastAsia" w:ascii="仿宋" w:hAnsi="仿宋" w:eastAsia="仿宋" w:cs="仿宋"/>
          <w:b/>
          <w:bCs/>
          <w:sz w:val="32"/>
          <w:szCs w:val="32"/>
        </w:rPr>
        <w:t>（3）</w:t>
      </w:r>
      <w:r>
        <w:rPr>
          <w:rFonts w:hint="eastAsia" w:ascii="仿宋" w:hAnsi="仿宋" w:eastAsia="仿宋" w:cs="仿宋"/>
          <w:sz w:val="32"/>
          <w:szCs w:val="32"/>
          <w:lang w:bidi="ar"/>
        </w:rPr>
        <w:t>统收清算结果</w:t>
      </w:r>
    </w:p>
    <w:p>
      <w:pPr>
        <w:numPr>
          <w:ilvl w:val="255"/>
          <w:numId w:val="0"/>
        </w:numPr>
        <w:spacing w:line="590" w:lineRule="exact"/>
        <w:ind w:firstLine="640" w:firstLineChars="200"/>
        <w:rPr>
          <w:rFonts w:ascii="仿宋" w:hAnsi="仿宋" w:eastAsia="仿宋" w:cs="仿宋"/>
          <w:bCs/>
          <w:sz w:val="32"/>
          <w:szCs w:val="32"/>
          <w:lang w:bidi="ar"/>
        </w:rPr>
      </w:pPr>
      <w:r>
        <w:rPr>
          <w:rFonts w:hint="eastAsia" w:ascii="微软雅黑" w:hAnsi="微软雅黑" w:eastAsia="微软雅黑" w:cs="微软雅黑"/>
          <w:sz w:val="32"/>
          <w:szCs w:val="32"/>
        </w:rPr>
        <w:t>①</w:t>
      </w:r>
      <w:r>
        <w:rPr>
          <w:rFonts w:hint="eastAsia" w:ascii="仿宋" w:hAnsi="仿宋" w:eastAsia="仿宋" w:cs="仿宋"/>
          <w:bCs/>
          <w:sz w:val="32"/>
          <w:szCs w:val="32"/>
          <w:lang w:bidi="ar"/>
        </w:rPr>
        <w:t>付款方资金账户余额充足的，票交所将付款资金总额全额扣划至</w:t>
      </w:r>
      <w:r>
        <w:rPr>
          <w:rFonts w:hint="eastAsia" w:ascii="仿宋" w:hAnsi="仿宋" w:eastAsia="仿宋" w:cs="仿宋"/>
          <w:sz w:val="32"/>
          <w:szCs w:val="32"/>
          <w:lang w:bidi="ar"/>
        </w:rPr>
        <w:t>“批量清算专户”</w:t>
      </w:r>
      <w:r>
        <w:rPr>
          <w:rFonts w:hint="eastAsia" w:ascii="仿宋" w:hAnsi="仿宋" w:eastAsia="仿宋" w:cs="仿宋"/>
          <w:bCs/>
          <w:sz w:val="32"/>
          <w:szCs w:val="32"/>
          <w:lang w:bidi="ar"/>
        </w:rPr>
        <w:t>，判定清算成功。</w:t>
      </w:r>
      <w:r>
        <w:rPr>
          <w:rFonts w:hint="eastAsia" w:ascii="仿宋" w:hAnsi="仿宋" w:eastAsia="仿宋" w:cs="仿宋"/>
          <w:sz w:val="32"/>
          <w:szCs w:val="32"/>
          <w:lang w:bidi="ar"/>
        </w:rPr>
        <w:t>统收清算成功的，相应票据即结清。</w:t>
      </w:r>
    </w:p>
    <w:p>
      <w:pPr>
        <w:spacing w:line="590" w:lineRule="exact"/>
        <w:ind w:firstLine="640" w:firstLineChars="200"/>
        <w:rPr>
          <w:rFonts w:ascii="仿宋" w:hAnsi="仿宋" w:eastAsia="仿宋" w:cs="仿宋"/>
          <w:sz w:val="32"/>
          <w:szCs w:val="32"/>
          <w:lang w:bidi="ar"/>
        </w:rPr>
      </w:pPr>
      <w:r>
        <w:rPr>
          <w:rFonts w:hint="eastAsia" w:ascii="微软雅黑" w:hAnsi="微软雅黑" w:eastAsia="微软雅黑" w:cs="微软雅黑"/>
          <w:sz w:val="32"/>
          <w:szCs w:val="32"/>
          <w:lang w:bidi="ar"/>
        </w:rPr>
        <w:t>②</w:t>
      </w:r>
      <w:r>
        <w:rPr>
          <w:rFonts w:hint="eastAsia" w:ascii="仿宋" w:hAnsi="仿宋" w:eastAsia="仿宋" w:cs="仿宋"/>
          <w:bCs/>
          <w:sz w:val="32"/>
          <w:szCs w:val="32"/>
          <w:lang w:bidi="ar"/>
        </w:rPr>
        <w:t>付款方资金账户余额不足的，</w:t>
      </w:r>
      <w:r>
        <w:rPr>
          <w:rFonts w:hint="eastAsia" w:ascii="仿宋" w:hAnsi="仿宋" w:eastAsia="仿宋" w:cs="仿宋"/>
          <w:sz w:val="32"/>
          <w:szCs w:val="32"/>
          <w:lang w:bidi="ar"/>
        </w:rPr>
        <w:t>统收业务进行清算排队。截至票交所规定的排队撤销时点，付款方资金余额仍不足的，判定</w:t>
      </w:r>
      <w:r>
        <w:rPr>
          <w:rFonts w:hint="eastAsia" w:ascii="仿宋" w:hAnsi="仿宋" w:eastAsia="仿宋" w:cs="仿宋"/>
          <w:bCs/>
          <w:sz w:val="32"/>
          <w:szCs w:val="32"/>
          <w:lang w:bidi="ar"/>
        </w:rPr>
        <w:t>付款方</w:t>
      </w:r>
      <w:r>
        <w:rPr>
          <w:rFonts w:hint="eastAsia" w:ascii="仿宋" w:hAnsi="仿宋" w:eastAsia="仿宋" w:cs="仿宋"/>
          <w:sz w:val="32"/>
          <w:szCs w:val="32"/>
          <w:lang w:bidi="ar"/>
        </w:rPr>
        <w:t>批量清算失败，本场次批量清算未成功的相关业务</w:t>
      </w:r>
      <w:r>
        <w:rPr>
          <w:rFonts w:hint="eastAsia" w:ascii="仿宋" w:hAnsi="仿宋" w:eastAsia="仿宋" w:cs="仿宋"/>
          <w:sz w:val="32"/>
          <w:szCs w:val="32"/>
          <w:lang w:eastAsia="zh-CN" w:bidi="ar"/>
        </w:rPr>
        <w:t>继续</w:t>
      </w:r>
      <w:r>
        <w:rPr>
          <w:rFonts w:hint="eastAsia" w:ascii="仿宋" w:hAnsi="仿宋" w:eastAsia="仿宋" w:cs="仿宋"/>
          <w:sz w:val="32"/>
          <w:szCs w:val="32"/>
          <w:lang w:bidi="ar"/>
        </w:rPr>
        <w:t>采用逐笔清算方式自动完成清算。</w:t>
      </w:r>
    </w:p>
    <w:p>
      <w:pPr>
        <w:spacing w:line="590" w:lineRule="exact"/>
        <w:ind w:firstLine="643" w:firstLineChars="200"/>
        <w:rPr>
          <w:rFonts w:ascii="仿宋" w:hAnsi="仿宋" w:eastAsia="仿宋" w:cs="仿宋"/>
          <w:b/>
          <w:bCs/>
          <w:sz w:val="32"/>
          <w:szCs w:val="32"/>
          <w:lang w:bidi="ar"/>
        </w:rPr>
      </w:pPr>
      <w:r>
        <w:rPr>
          <w:rFonts w:hint="eastAsia" w:ascii="仿宋" w:hAnsi="仿宋" w:eastAsia="仿宋" w:cs="仿宋"/>
          <w:b/>
          <w:bCs/>
          <w:sz w:val="32"/>
          <w:szCs w:val="32"/>
          <w:lang w:bidi="ar"/>
        </w:rPr>
        <w:t>2.统付业务清算流程</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（1）计算应收资金总额</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统付时点开始，</w:t>
      </w:r>
      <w:r>
        <w:rPr>
          <w:rFonts w:hint="eastAsia" w:ascii="仿宋" w:hAnsi="仿宋" w:eastAsia="仿宋" w:cs="仿宋"/>
          <w:sz w:val="32"/>
          <w:szCs w:val="32"/>
          <w:lang w:eastAsia="zh-CN" w:bidi="ar"/>
        </w:rPr>
        <w:t>票交所根据</w:t>
      </w:r>
      <w:r>
        <w:rPr>
          <w:rFonts w:hint="eastAsia" w:ascii="仿宋" w:hAnsi="仿宋" w:eastAsia="仿宋" w:cs="仿宋"/>
          <w:sz w:val="32"/>
          <w:szCs w:val="32"/>
          <w:lang w:bidi="ar"/>
        </w:rPr>
        <w:t>金融机构法人（非法人产品）本场次对应的统收业务</w:t>
      </w:r>
      <w:r>
        <w:rPr>
          <w:rFonts w:hint="eastAsia" w:ascii="仿宋" w:hAnsi="仿宋" w:eastAsia="仿宋" w:cs="仿宋"/>
          <w:sz w:val="32"/>
          <w:szCs w:val="32"/>
          <w:lang w:eastAsia="zh-CN" w:bidi="ar"/>
        </w:rPr>
        <w:t>的清算结果</w:t>
      </w:r>
      <w:r>
        <w:rPr>
          <w:rFonts w:hint="eastAsia" w:ascii="仿宋" w:hAnsi="仿宋" w:eastAsia="仿宋" w:cs="仿宋"/>
          <w:sz w:val="32"/>
          <w:szCs w:val="32"/>
          <w:lang w:bidi="ar"/>
        </w:rPr>
        <w:t>，</w:t>
      </w:r>
      <w:r>
        <w:rPr>
          <w:rFonts w:hint="eastAsia" w:ascii="仿宋" w:hAnsi="仿宋" w:eastAsia="仿宋" w:cs="仿宋"/>
          <w:sz w:val="32"/>
          <w:szCs w:val="32"/>
          <w:lang w:eastAsia="zh-CN" w:bidi="ar"/>
        </w:rPr>
        <w:t>计算其</w:t>
      </w:r>
      <w:r>
        <w:rPr>
          <w:rFonts w:hint="eastAsia" w:ascii="仿宋" w:hAnsi="仿宋" w:eastAsia="仿宋" w:cs="仿宋"/>
          <w:sz w:val="32"/>
          <w:szCs w:val="32"/>
          <w:lang w:bidi="ar"/>
        </w:rPr>
        <w:t>清算成功</w:t>
      </w:r>
      <w:r>
        <w:rPr>
          <w:rFonts w:hint="eastAsia" w:ascii="仿宋" w:hAnsi="仿宋" w:eastAsia="仿宋" w:cs="仿宋"/>
          <w:sz w:val="32"/>
          <w:szCs w:val="32"/>
          <w:lang w:eastAsia="zh-CN" w:bidi="ar"/>
        </w:rPr>
        <w:t>的对应统收业务的</w:t>
      </w:r>
      <w:r>
        <w:rPr>
          <w:rFonts w:hint="eastAsia" w:ascii="仿宋" w:hAnsi="仿宋" w:eastAsia="仿宋" w:cs="仿宋"/>
          <w:sz w:val="32"/>
          <w:szCs w:val="32"/>
          <w:lang w:bidi="ar"/>
        </w:rPr>
        <w:t>资金总额，并根据资金总额生成统付结算指令。</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（2）发起统付结算指令</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bCs/>
          <w:sz w:val="32"/>
          <w:szCs w:val="32"/>
          <w:lang w:bidi="ar"/>
        </w:rPr>
        <w:t>票交所根据</w:t>
      </w:r>
      <w:r>
        <w:rPr>
          <w:rFonts w:hint="eastAsia" w:ascii="仿宋" w:hAnsi="仿宋" w:eastAsia="仿宋" w:cs="仿宋"/>
          <w:sz w:val="32"/>
          <w:szCs w:val="32"/>
          <w:lang w:bidi="ar"/>
        </w:rPr>
        <w:t>统付结算指令</w:t>
      </w:r>
      <w:r>
        <w:rPr>
          <w:rFonts w:hint="eastAsia" w:ascii="仿宋" w:hAnsi="仿宋" w:eastAsia="仿宋" w:cs="仿宋"/>
          <w:bCs/>
          <w:sz w:val="32"/>
          <w:szCs w:val="32"/>
          <w:lang w:bidi="ar"/>
        </w:rPr>
        <w:t>，将汇总计算的票据结算资金应收总额</w:t>
      </w:r>
      <w:r>
        <w:rPr>
          <w:rFonts w:hint="eastAsia" w:ascii="仿宋" w:hAnsi="仿宋" w:eastAsia="仿宋" w:cs="仿宋"/>
          <w:sz w:val="32"/>
          <w:szCs w:val="32"/>
          <w:lang w:bidi="ar"/>
        </w:rPr>
        <w:t>从票交所“批量清算专户”扣划至金融机构法人（非法人产品）资金账户（具体流程同“</w:t>
      </w:r>
      <w:r>
        <w:rPr>
          <w:rFonts w:hint="eastAsia" w:ascii="仿宋" w:hAnsi="仿宋" w:eastAsia="仿宋" w:cs="仿宋"/>
          <w:bCs/>
          <w:sz w:val="32"/>
          <w:szCs w:val="32"/>
          <w:lang w:bidi="ar"/>
        </w:rPr>
        <w:t>发起统收结算指令</w:t>
      </w:r>
      <w:r>
        <w:rPr>
          <w:rFonts w:hint="eastAsia" w:ascii="仿宋" w:hAnsi="仿宋" w:eastAsia="仿宋" w:cs="仿宋"/>
          <w:sz w:val="32"/>
          <w:szCs w:val="32"/>
          <w:lang w:bidi="ar"/>
        </w:rPr>
        <w:t>”）。</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（3）清算结果</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统付清算成功的，本场次批量清算完成。</w:t>
      </w:r>
    </w:p>
    <w:p>
      <w:pPr>
        <w:spacing w:line="590" w:lineRule="exact"/>
        <w:ind w:firstLine="643" w:firstLineChars="200"/>
        <w:rPr>
          <w:rFonts w:ascii="仿宋" w:hAnsi="仿宋" w:eastAsia="仿宋" w:cs="仿宋"/>
          <w:sz w:val="32"/>
          <w:szCs w:val="32"/>
          <w:lang w:bidi="ar"/>
        </w:rPr>
      </w:pPr>
      <w:r>
        <w:rPr>
          <w:rFonts w:hint="eastAsia" w:ascii="仿宋" w:hAnsi="仿宋" w:eastAsia="仿宋" w:cs="仿宋"/>
          <w:b/>
          <w:bCs/>
          <w:sz w:val="32"/>
          <w:szCs w:val="32"/>
          <w:lang w:bidi="ar"/>
        </w:rPr>
        <w:t>3.结算结果查询</w:t>
      </w:r>
    </w:p>
    <w:p>
      <w:pPr>
        <w:spacing w:line="590" w:lineRule="exact"/>
        <w:ind w:firstLine="640" w:firstLineChars="200"/>
        <w:rPr>
          <w:rFonts w:ascii="仿宋" w:hAnsi="仿宋" w:eastAsia="仿宋" w:cs="仿宋"/>
          <w:sz w:val="32"/>
          <w:szCs w:val="32"/>
          <w:lang w:bidi="ar"/>
        </w:rPr>
      </w:pPr>
      <w:r>
        <w:rPr>
          <w:rFonts w:hint="eastAsia" w:ascii="仿宋" w:hAnsi="仿宋" w:eastAsia="仿宋" w:cs="仿宋"/>
          <w:sz w:val="32"/>
          <w:szCs w:val="32"/>
          <w:lang w:bidi="ar"/>
        </w:rPr>
        <w:t xml:space="preserve">金融机构法人（非法人产品）可通过票交所查询本场次批量清算结果和批量清算票据明细信息。 </w:t>
      </w:r>
    </w:p>
    <w:p>
      <w:pPr>
        <w:spacing w:line="590" w:lineRule="exact"/>
        <w:ind w:firstLine="640" w:firstLineChars="200"/>
        <w:rPr>
          <w:rFonts w:ascii="仿宋" w:hAnsi="仿宋" w:eastAsia="仿宋" w:cs="仿宋"/>
          <w:kern w:val="0"/>
          <w:sz w:val="32"/>
          <w:szCs w:val="32"/>
          <w:lang w:bidi="ar"/>
        </w:rPr>
      </w:pPr>
      <w:r>
        <w:rPr>
          <w:rFonts w:hint="eastAsia" w:ascii="仿宋" w:hAnsi="仿宋" w:eastAsia="仿宋" w:cs="仿宋"/>
          <w:sz w:val="32"/>
          <w:szCs w:val="32"/>
          <w:lang w:bidi="ar"/>
        </w:rPr>
        <w:t>收款人开户行应当根据批量清算票据明细信息及时将款项</w:t>
      </w:r>
      <w:r>
        <w:rPr>
          <w:rFonts w:hint="eastAsia" w:ascii="仿宋" w:hAnsi="仿宋" w:eastAsia="仿宋" w:cs="仿宋"/>
          <w:sz w:val="32"/>
          <w:szCs w:val="32"/>
          <w:lang w:eastAsia="zh-CN" w:bidi="ar"/>
        </w:rPr>
        <w:t>划付至对应的</w:t>
      </w:r>
      <w:r>
        <w:rPr>
          <w:rFonts w:hint="eastAsia" w:ascii="仿宋" w:hAnsi="仿宋" w:eastAsia="仿宋" w:cs="仿宋"/>
          <w:sz w:val="32"/>
          <w:szCs w:val="32"/>
          <w:lang w:bidi="ar"/>
        </w:rPr>
        <w:t>收款人账户。</w:t>
      </w:r>
    </w:p>
    <w:p>
      <w:pPr>
        <w:spacing w:line="590" w:lineRule="exact"/>
        <w:ind w:firstLine="640" w:firstLineChars="200"/>
        <w:rPr>
          <w:rFonts w:ascii="仿宋" w:hAnsi="仿宋" w:eastAsia="仿宋" w:cs="仿宋"/>
          <w:kern w:val="0"/>
          <w:sz w:val="32"/>
          <w:szCs w:val="32"/>
          <w:lang w:bidi="ar"/>
        </w:rPr>
      </w:pPr>
    </w:p>
    <w:p>
      <w:pPr>
        <w:widowControl/>
        <w:spacing w:line="590" w:lineRule="exact"/>
        <w:ind w:firstLine="643" w:firstLineChars="200"/>
        <w:outlineLvl w:val="1"/>
        <w:rPr>
          <w:rFonts w:ascii="仿宋" w:hAnsi="仿宋" w:eastAsia="仿宋" w:cs="仿宋"/>
          <w:b/>
          <w:bCs/>
          <w:sz w:val="32"/>
          <w:szCs w:val="32"/>
        </w:rPr>
      </w:pPr>
      <w:bookmarkStart w:id="1915" w:name="_Toc8188"/>
      <w:bookmarkStart w:id="1916" w:name="_Toc19059"/>
      <w:bookmarkStart w:id="1917" w:name="_Toc3819"/>
      <w:bookmarkStart w:id="1918" w:name="_Toc18511"/>
      <w:bookmarkStart w:id="1919" w:name="_Toc6868"/>
      <w:bookmarkStart w:id="1920" w:name="_Toc18144"/>
      <w:bookmarkStart w:id="1921" w:name="_Toc15898"/>
      <w:bookmarkStart w:id="1922" w:name="_Toc29855"/>
      <w:bookmarkStart w:id="1923" w:name="_Toc31614"/>
      <w:bookmarkStart w:id="1924" w:name="_Toc2221"/>
      <w:bookmarkStart w:id="1925" w:name="_Toc14543"/>
      <w:bookmarkStart w:id="1926" w:name="_Toc14060"/>
      <w:bookmarkStart w:id="1927" w:name="_Toc19737"/>
      <w:bookmarkStart w:id="1928" w:name="_Toc6712"/>
      <w:bookmarkStart w:id="1929" w:name="_Toc1372028327"/>
      <w:bookmarkStart w:id="1930" w:name="_Toc11978"/>
      <w:bookmarkStart w:id="1931" w:name="_Toc12777"/>
      <w:r>
        <w:rPr>
          <w:rFonts w:hint="eastAsia" w:ascii="仿宋" w:hAnsi="仿宋" w:eastAsia="仿宋" w:cs="仿宋"/>
          <w:b/>
          <w:bCs/>
          <w:sz w:val="32"/>
          <w:szCs w:val="32"/>
        </w:rPr>
        <w:t>8.2</w:t>
      </w:r>
      <w:r>
        <w:rPr>
          <w:rFonts w:ascii="仿宋" w:hAnsi="仿宋" w:eastAsia="仿宋" w:cs="仿宋"/>
          <w:b/>
          <w:bCs/>
          <w:sz w:val="32"/>
          <w:szCs w:val="32"/>
        </w:rPr>
        <w:t xml:space="preserve"> 票据登记</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pPr>
        <w:widowControl/>
        <w:numPr>
          <w:ilvl w:val="255"/>
          <w:numId w:val="0"/>
        </w:numPr>
        <w:spacing w:line="590" w:lineRule="exact"/>
        <w:ind w:firstLine="643" w:firstLineChars="200"/>
        <w:outlineLvl w:val="2"/>
        <w:rPr>
          <w:rFonts w:ascii="仿宋" w:hAnsi="仿宋" w:eastAsia="仿宋" w:cs="仿宋"/>
          <w:sz w:val="32"/>
          <w:szCs w:val="32"/>
        </w:rPr>
      </w:pPr>
      <w:bookmarkStart w:id="1932" w:name="_Toc2012"/>
      <w:bookmarkStart w:id="1933" w:name="_Toc14165"/>
      <w:bookmarkStart w:id="1934" w:name="_Toc28097"/>
      <w:bookmarkStart w:id="1935" w:name="_Toc19212"/>
      <w:bookmarkStart w:id="1936" w:name="_Toc3661"/>
      <w:bookmarkStart w:id="1937" w:name="_Toc15807"/>
      <w:bookmarkStart w:id="1938" w:name="_Toc815751106"/>
      <w:bookmarkStart w:id="1939" w:name="_Toc12370"/>
      <w:bookmarkStart w:id="1940" w:name="_Toc27152"/>
      <w:bookmarkStart w:id="1941" w:name="_Toc21909"/>
      <w:bookmarkStart w:id="1942" w:name="_Toc12888"/>
      <w:bookmarkStart w:id="1943" w:name="_Toc29590"/>
      <w:bookmarkStart w:id="1944" w:name="_Toc3676"/>
      <w:bookmarkStart w:id="1945" w:name="_Toc24703"/>
      <w:bookmarkStart w:id="1946" w:name="_Toc9156"/>
      <w:r>
        <w:rPr>
          <w:rFonts w:hint="eastAsia" w:ascii="仿宋" w:hAnsi="仿宋" w:eastAsia="仿宋" w:cs="仿宋"/>
          <w:b/>
          <w:bCs/>
          <w:sz w:val="32"/>
          <w:szCs w:val="32"/>
        </w:rPr>
        <w:t>8.2.1 概述</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票据登记包括权属初始登记、变更登记和注销登记。</w:t>
      </w: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1947" w:name="_Toc7030"/>
      <w:bookmarkStart w:id="1948" w:name="_Toc19504"/>
      <w:bookmarkStart w:id="1949" w:name="_Toc26946"/>
      <w:bookmarkStart w:id="1950" w:name="_Toc14855"/>
      <w:bookmarkStart w:id="1951" w:name="_Toc2750"/>
      <w:bookmarkStart w:id="1952" w:name="_Toc19166"/>
      <w:bookmarkStart w:id="1953" w:name="_Toc544108570"/>
      <w:bookmarkStart w:id="1954" w:name="_Toc29642"/>
      <w:bookmarkStart w:id="1955" w:name="_Toc11570"/>
      <w:bookmarkStart w:id="1956" w:name="_Toc8956"/>
      <w:bookmarkStart w:id="1957" w:name="_Toc7287"/>
      <w:bookmarkStart w:id="1958" w:name="_Toc9480"/>
      <w:bookmarkStart w:id="1959" w:name="_Toc5909"/>
      <w:bookmarkStart w:id="1960" w:name="_Toc22018"/>
      <w:bookmarkStart w:id="1961" w:name="_Toc3741"/>
      <w:r>
        <w:rPr>
          <w:rFonts w:hint="eastAsia" w:ascii="仿宋" w:hAnsi="仿宋" w:eastAsia="仿宋" w:cs="仿宋"/>
          <w:b/>
          <w:bCs/>
          <w:sz w:val="32"/>
          <w:szCs w:val="32"/>
        </w:rPr>
        <w:t>8.2</w:t>
      </w:r>
      <w:r>
        <w:rPr>
          <w:rFonts w:ascii="仿宋" w:hAnsi="仿宋" w:eastAsia="仿宋" w:cs="仿宋"/>
          <w:b/>
          <w:bCs/>
          <w:sz w:val="32"/>
          <w:szCs w:val="32"/>
        </w:rPr>
        <w:t>.2 权属初始登记</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电票收款人完成票据签收或者纸票贴入人完成贴现信息登记后，票交所自动记载相关初始登记信息。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纸票贴入人应当确保登记信息真实、有效，并承担因登记信息错误造成损失的赔偿责任。</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电票收款人完成票据签收或者纸票贴入人完成贴现信息登记，票交所自动记载对应票据的权属人信息，同时增记承兑人承兑账户已承兑科目以及权属人托管账户可用科目余额。</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962" w:name="_Toc4788"/>
      <w:bookmarkStart w:id="1963" w:name="_Toc18054"/>
      <w:bookmarkStart w:id="1964" w:name="_Toc1673"/>
      <w:bookmarkStart w:id="1965" w:name="_Toc5893"/>
      <w:bookmarkStart w:id="1966" w:name="_Toc12073"/>
      <w:bookmarkStart w:id="1967" w:name="_Toc16246"/>
      <w:bookmarkStart w:id="1968" w:name="_Toc11940"/>
      <w:bookmarkStart w:id="1969" w:name="_Toc5653"/>
      <w:bookmarkStart w:id="1970" w:name="_Toc21937"/>
      <w:bookmarkStart w:id="1971" w:name="_Toc24043"/>
      <w:bookmarkStart w:id="1972" w:name="_Toc23953"/>
      <w:bookmarkStart w:id="1973" w:name="_Toc4948"/>
      <w:bookmarkStart w:id="1974" w:name="_Toc6084"/>
      <w:bookmarkStart w:id="1975" w:name="_Toc27321"/>
      <w:bookmarkStart w:id="1976" w:name="_Toc1764744011"/>
      <w:r>
        <w:rPr>
          <w:rFonts w:hint="eastAsia" w:ascii="仿宋" w:hAnsi="仿宋" w:eastAsia="仿宋" w:cs="仿宋"/>
          <w:b/>
          <w:bCs/>
          <w:sz w:val="32"/>
          <w:szCs w:val="32"/>
        </w:rPr>
        <w:t>8.2.3 权属过户登记</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因票据的交易过户、非交易过户等原因引起票据业务参与者票据托管账户余额变化的，票交所依据有效的业务指令办理票据权属变更登记。</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因转贴现、买断式回购导致业务参与者票据权属发生变动的，票交所依据结算指令办理票据变更登记。</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买入方与卖出方达成转贴现、买断式回购成交，待资金清算完成后票交所自动记载票据行为信息，同时增记买入方托管账户可用科目余额，减记卖出方托管账户可用科目余额。</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977" w:name="_Toc8351"/>
      <w:bookmarkStart w:id="1978" w:name="_Toc15021"/>
      <w:bookmarkStart w:id="1979" w:name="_Toc30402"/>
      <w:bookmarkStart w:id="1980" w:name="_Toc27979"/>
      <w:bookmarkStart w:id="1981" w:name="_Toc2007"/>
      <w:bookmarkStart w:id="1982" w:name="_Toc24435"/>
      <w:bookmarkStart w:id="1983" w:name="_Toc6959"/>
      <w:bookmarkStart w:id="1984" w:name="_Toc10661"/>
      <w:bookmarkStart w:id="1985" w:name="_Toc1295104443"/>
      <w:bookmarkStart w:id="1986" w:name="_Toc22372"/>
      <w:bookmarkStart w:id="1987" w:name="_Toc25514"/>
      <w:bookmarkStart w:id="1988" w:name="_Toc11750"/>
      <w:bookmarkStart w:id="1989" w:name="_Toc7087"/>
      <w:bookmarkStart w:id="1990" w:name="_Toc8080"/>
      <w:bookmarkStart w:id="1991" w:name="_Toc24299"/>
      <w:r>
        <w:rPr>
          <w:rFonts w:hint="eastAsia" w:ascii="仿宋" w:hAnsi="仿宋" w:eastAsia="仿宋" w:cs="仿宋"/>
          <w:b/>
          <w:bCs/>
          <w:sz w:val="32"/>
          <w:szCs w:val="32"/>
        </w:rPr>
        <w:t>8.2.4 质押/质押解除登记</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因票据的质押、质押式回购等原因引起票据业务参与者票据权益变化的，票交所依据有效的业务指令对所涉票据进行质押登记或质押解除登记。</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因质押、质押解除导致业务参与者票据权益变动的，票交所依据有效的业务指令为其办理质押、质押解除登记。</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1.质押业务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（1）质权人对质押申请进行应答同意后，票交所自动记载票据行为信息，同时增记出质人托管账户质押科目余额，减记出质人托管账户可用科目余额，增记质权人质权账户余额。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（2）出质人对解除质押申请进行应答同意后，票交所自动记载票据行为信息，同时减记出质人托管账户质押科目余额，增记出质人托管账户可用科目余额，减记质权人质权账户余额。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2.质押式回购业务</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（1）质押式回购成交，待资金清算完成后票交所自动记载票据行为信息，同时增记正回购方托管账户质押式回购待赎回科目余额，减记正回购方托管账户可用科目余额，增记逆回购方质权账户余额。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（2）质押式回购赎回，待资金清算完成后票交所自动记载票据行为信息，同时减记正回购方托管账户质押式回购待赎回科目余额，增记正回购方托管账户可用科目余额，减记逆回购方质权账户余额。</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1992" w:name="_Toc176261141"/>
      <w:bookmarkStart w:id="1993" w:name="_Toc437"/>
      <w:bookmarkStart w:id="1994" w:name="_Toc16374"/>
      <w:bookmarkStart w:id="1995" w:name="_Toc6903"/>
      <w:bookmarkStart w:id="1996" w:name="_Toc9271"/>
      <w:bookmarkStart w:id="1997" w:name="_Toc17636"/>
      <w:bookmarkStart w:id="1998" w:name="_Toc23724"/>
      <w:bookmarkStart w:id="1999" w:name="_Toc20060"/>
      <w:bookmarkStart w:id="2000" w:name="_Toc28804"/>
      <w:bookmarkStart w:id="2001" w:name="_Toc30380"/>
      <w:bookmarkStart w:id="2002" w:name="_Toc14585"/>
      <w:bookmarkStart w:id="2003" w:name="_Toc13666"/>
      <w:bookmarkStart w:id="2004" w:name="_Toc1756"/>
      <w:bookmarkStart w:id="2005" w:name="_Toc7054"/>
      <w:bookmarkStart w:id="2006" w:name="_Toc21838"/>
      <w:r>
        <w:rPr>
          <w:rFonts w:hint="eastAsia" w:ascii="仿宋" w:hAnsi="仿宋" w:eastAsia="仿宋" w:cs="仿宋"/>
          <w:b/>
          <w:bCs/>
          <w:sz w:val="32"/>
          <w:szCs w:val="32"/>
        </w:rPr>
        <w:t>8.2.5 权属注销登记</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因提示付款、追偿、除权判决等情况导致票据结清或作废的，票交所对所涉票据进行注销登记并相应减少票据业务参与者票据托管账户余额。 </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票据经提示付款或追偿，由承兑人或出票人清偿票据债务的，票交所对所涉票据进行注销登记。票据经除权判决被人民法院宣告无效的，票交所依据承兑人或承兑人开户行提交的已生效除权判决法律文书，对所涉票据进行注销登记。纸票因虚假登记、关键信息登记错误的，票交所依据票据业务参与者提交的申请文件，对所涉票据进行注销登记。 </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电票承兑人或出票人通过参与者服务机构对收到提示付款、追偿、除权判决申请进行应答同意，待资金清算完成后，票交所自动对所涉票据进行注销登记，同时减记承兑人承兑账户以及权属人托管账户余额。</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bCs/>
          <w:sz w:val="32"/>
          <w:szCs w:val="32"/>
        </w:rPr>
      </w:pPr>
      <w:bookmarkStart w:id="2007" w:name="_Toc1213454533"/>
      <w:bookmarkStart w:id="2008" w:name="_Toc28285"/>
      <w:bookmarkStart w:id="2009" w:name="_Toc16436"/>
      <w:bookmarkStart w:id="2010" w:name="_Toc24120"/>
      <w:bookmarkStart w:id="2011" w:name="_Toc30232"/>
      <w:bookmarkStart w:id="2012" w:name="_Toc8549"/>
      <w:bookmarkStart w:id="2013" w:name="_Toc18266"/>
      <w:bookmarkStart w:id="2014" w:name="_Toc26422"/>
      <w:bookmarkStart w:id="2015" w:name="_Toc9319"/>
      <w:bookmarkStart w:id="2016" w:name="_Toc941"/>
      <w:bookmarkStart w:id="2017" w:name="_Toc4638"/>
      <w:bookmarkStart w:id="2018" w:name="_Toc19847"/>
      <w:bookmarkStart w:id="2019" w:name="_Toc13438"/>
      <w:bookmarkStart w:id="2020" w:name="_Toc5039"/>
      <w:bookmarkStart w:id="2021" w:name="_Toc2195"/>
      <w:r>
        <w:rPr>
          <w:rFonts w:hint="eastAsia" w:ascii="仿宋" w:hAnsi="仿宋" w:eastAsia="仿宋" w:cs="仿宋"/>
          <w:b/>
          <w:bCs/>
          <w:sz w:val="32"/>
          <w:szCs w:val="32"/>
        </w:rPr>
        <w:t>8.2.6 追索变更登记</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票据经追索，承兑人、出票人以外的被追索人清偿债务的，票交所依据结算指令将所涉票据权属由票据权利人变更至被追索人。</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票据经追索，由承兑人、出票人以外的被追索人清偿票据债务的，票交所对所涉票据进行权属变更登记。</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电票承兑人、出票人以外的被追索人通过参与者服务机构对收到追索申请进行应答同意，待资金清算完成后，票交所自动对所涉票据进行追索变更登记，增记被追索人托管账户余额，减记追索人托管账户余额。</w:t>
      </w:r>
    </w:p>
    <w:p>
      <w:pPr>
        <w:spacing w:line="590" w:lineRule="exact"/>
        <w:ind w:firstLine="640" w:firstLineChars="200"/>
        <w:rPr>
          <w:rFonts w:ascii="仿宋" w:hAnsi="仿宋" w:eastAsia="仿宋" w:cs="仿宋"/>
          <w:sz w:val="32"/>
          <w:szCs w:val="32"/>
        </w:rPr>
      </w:pPr>
    </w:p>
    <w:p>
      <w:pPr>
        <w:spacing w:line="240" w:lineRule="auto"/>
        <w:jc w:val="left"/>
        <w:outlineLvl w:val="9"/>
        <w:rPr>
          <w:rFonts w:hint="eastAsia" w:ascii="仿宋" w:hAnsi="仿宋" w:eastAsia="仿宋" w:cs="仿宋"/>
          <w:b/>
          <w:bCs/>
          <w:kern w:val="44"/>
          <w:sz w:val="40"/>
          <w:szCs w:val="40"/>
        </w:rPr>
      </w:pPr>
      <w:bookmarkStart w:id="2022" w:name="_Toc1373"/>
      <w:bookmarkStart w:id="2023" w:name="_Toc16559"/>
      <w:bookmarkStart w:id="2024" w:name="_Toc15313"/>
      <w:bookmarkStart w:id="2025" w:name="_Toc7184"/>
      <w:bookmarkStart w:id="2026" w:name="_Toc20506"/>
      <w:bookmarkStart w:id="2027" w:name="_Toc15331"/>
      <w:bookmarkStart w:id="2028" w:name="_Toc32408"/>
      <w:bookmarkStart w:id="2029" w:name="_Toc25526"/>
      <w:bookmarkStart w:id="2030" w:name="_Toc5789"/>
      <w:bookmarkStart w:id="2031" w:name="_Toc12558"/>
      <w:bookmarkStart w:id="2032" w:name="_Toc7103"/>
      <w:bookmarkStart w:id="2033" w:name="_Toc27412"/>
      <w:bookmarkStart w:id="2034" w:name="_Toc1050"/>
      <w:bookmarkStart w:id="2035" w:name="_Toc22355"/>
      <w:bookmarkStart w:id="2036" w:name="_Toc9071"/>
      <w:r>
        <w:rPr>
          <w:rFonts w:hint="eastAsia" w:ascii="仿宋" w:hAnsi="仿宋" w:eastAsia="仿宋" w:cs="仿宋"/>
          <w:b/>
          <w:bCs/>
          <w:kern w:val="44"/>
          <w:sz w:val="40"/>
          <w:szCs w:val="40"/>
        </w:rPr>
        <w:br w:type="page"/>
      </w:r>
    </w:p>
    <w:p>
      <w:pPr>
        <w:spacing w:line="590" w:lineRule="exact"/>
        <w:jc w:val="center"/>
        <w:outlineLvl w:val="0"/>
        <w:rPr>
          <w:rFonts w:ascii="仿宋" w:hAnsi="仿宋" w:eastAsia="仿宋" w:cs="仿宋"/>
          <w:b/>
          <w:bCs/>
          <w:kern w:val="44"/>
          <w:sz w:val="40"/>
          <w:szCs w:val="40"/>
        </w:rPr>
      </w:pPr>
      <w:bookmarkStart w:id="2037" w:name="_Toc527"/>
      <w:bookmarkStart w:id="2038" w:name="_Toc2125782206"/>
      <w:r>
        <w:rPr>
          <w:rFonts w:hint="eastAsia" w:ascii="仿宋" w:hAnsi="仿宋" w:eastAsia="仿宋" w:cs="仿宋"/>
          <w:b/>
          <w:bCs/>
          <w:kern w:val="44"/>
          <w:sz w:val="40"/>
          <w:szCs w:val="40"/>
        </w:rPr>
        <w:t>第九章 业务参与者服务</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pPr>
        <w:spacing w:line="590" w:lineRule="exact"/>
        <w:ind w:firstLine="643" w:firstLineChars="200"/>
        <w:rPr>
          <w:rFonts w:ascii="仿宋" w:hAnsi="仿宋" w:eastAsia="仿宋" w:cs="仿宋"/>
          <w:b/>
          <w:sz w:val="32"/>
          <w:szCs w:val="32"/>
        </w:rPr>
      </w:pPr>
      <w:bookmarkStart w:id="2039" w:name="_Toc25338"/>
    </w:p>
    <w:p>
      <w:pPr>
        <w:spacing w:line="590" w:lineRule="exact"/>
        <w:ind w:firstLine="643" w:firstLineChars="200"/>
        <w:outlineLvl w:val="1"/>
        <w:rPr>
          <w:rFonts w:ascii="仿宋" w:hAnsi="仿宋" w:eastAsia="仿宋" w:cs="仿宋"/>
          <w:b/>
          <w:sz w:val="32"/>
          <w:szCs w:val="32"/>
        </w:rPr>
      </w:pPr>
      <w:bookmarkStart w:id="2040" w:name="_Toc7675"/>
      <w:bookmarkStart w:id="2041" w:name="_Toc23773"/>
      <w:bookmarkStart w:id="2042" w:name="_Toc18647"/>
      <w:bookmarkStart w:id="2043" w:name="_Toc6026"/>
      <w:bookmarkStart w:id="2044" w:name="_Toc16190"/>
      <w:bookmarkStart w:id="2045" w:name="_Toc2942"/>
      <w:bookmarkStart w:id="2046" w:name="_Toc17778"/>
      <w:bookmarkStart w:id="2047" w:name="_Toc8501"/>
      <w:bookmarkStart w:id="2048" w:name="_Toc3785"/>
      <w:bookmarkStart w:id="2049" w:name="_Toc5697"/>
      <w:bookmarkStart w:id="2050" w:name="_Toc872329184"/>
      <w:bookmarkStart w:id="2051" w:name="_Toc16994"/>
      <w:bookmarkStart w:id="2052" w:name="_Toc14170"/>
      <w:bookmarkStart w:id="2053" w:name="_Toc19785"/>
      <w:bookmarkStart w:id="2054" w:name="_Toc24311"/>
      <w:bookmarkStart w:id="2055" w:name="_Toc18506"/>
      <w:r>
        <w:rPr>
          <w:rFonts w:hint="eastAsia" w:ascii="仿宋" w:hAnsi="仿宋" w:eastAsia="仿宋" w:cs="仿宋"/>
          <w:b/>
          <w:sz w:val="32"/>
          <w:szCs w:val="32"/>
        </w:rPr>
        <w:t>9.1 信息服务</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pPr>
        <w:spacing w:line="590" w:lineRule="exact"/>
        <w:ind w:firstLine="643" w:firstLineChars="200"/>
        <w:outlineLvl w:val="2"/>
        <w:rPr>
          <w:rFonts w:ascii="仿宋" w:hAnsi="仿宋" w:eastAsia="仿宋" w:cs="仿宋"/>
          <w:b/>
          <w:sz w:val="32"/>
          <w:szCs w:val="32"/>
        </w:rPr>
      </w:pPr>
      <w:bookmarkStart w:id="2056" w:name="_Toc23174"/>
      <w:bookmarkStart w:id="2057" w:name="_Toc30034"/>
      <w:bookmarkStart w:id="2058" w:name="_Toc9524"/>
      <w:bookmarkStart w:id="2059" w:name="_Toc26558"/>
      <w:bookmarkStart w:id="2060" w:name="_Toc7457"/>
      <w:bookmarkStart w:id="2061" w:name="_Toc20486"/>
      <w:bookmarkStart w:id="2062" w:name="_Toc1291"/>
      <w:bookmarkStart w:id="2063" w:name="_Toc21853"/>
      <w:bookmarkStart w:id="2064" w:name="_Toc24029"/>
      <w:bookmarkStart w:id="2065" w:name="_Toc20524"/>
      <w:bookmarkStart w:id="2066" w:name="_Toc29152"/>
      <w:bookmarkStart w:id="2067" w:name="_Toc29170"/>
      <w:bookmarkStart w:id="2068" w:name="_Toc22529"/>
      <w:bookmarkStart w:id="2069" w:name="_Toc7748"/>
      <w:bookmarkStart w:id="2070" w:name="_Toc30674"/>
      <w:bookmarkStart w:id="2071" w:name="_Toc18500"/>
      <w:bookmarkStart w:id="2072" w:name="_Toc402441157"/>
      <w:r>
        <w:rPr>
          <w:rFonts w:hint="eastAsia" w:ascii="仿宋" w:hAnsi="仿宋" w:eastAsia="仿宋" w:cs="仿宋"/>
          <w:b/>
          <w:sz w:val="32"/>
          <w:szCs w:val="32"/>
        </w:rPr>
        <w:t>9.1.1信用信息查询</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widowControl/>
        <w:spacing w:line="590" w:lineRule="exact"/>
        <w:ind w:firstLine="640" w:firstLineChars="200"/>
        <w:jc w:val="left"/>
        <w:rPr>
          <w:rFonts w:ascii="仿宋" w:hAnsi="仿宋" w:eastAsia="仿宋"/>
          <w:sz w:val="32"/>
          <w:szCs w:val="32"/>
        </w:rPr>
      </w:pPr>
      <w:r>
        <w:rPr>
          <w:rFonts w:hint="eastAsia" w:ascii="仿宋" w:hAnsi="仿宋" w:eastAsia="仿宋"/>
          <w:sz w:val="32"/>
          <w:szCs w:val="32"/>
        </w:rPr>
        <w:t>1.提示收票、转让背书、保证、质押、贴现、存托等</w:t>
      </w:r>
      <w:r>
        <w:rPr>
          <w:rFonts w:hint="eastAsia" w:ascii="仿宋" w:hAnsi="仿宋" w:eastAsia="仿宋"/>
          <w:sz w:val="32"/>
          <w:szCs w:val="32"/>
          <w:lang w:bidi="ar"/>
        </w:rPr>
        <w:t>票据行为处于待应答的状态下，行为接收人可以向票交所查询行为申请人以及票据承兑人的信用信息。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票据的持票人（或</w:t>
      </w:r>
      <w:r>
        <w:rPr>
          <w:rFonts w:hint="eastAsia" w:ascii="仿宋" w:hAnsi="仿宋" w:eastAsia="仿宋" w:cs="仿宋"/>
          <w:bCs/>
          <w:color w:val="000000"/>
          <w:sz w:val="32"/>
          <w:szCs w:val="32"/>
          <w:lang w:bidi="ar"/>
        </w:rPr>
        <w:t>已质押未解除票据的质权人</w:t>
      </w:r>
      <w:r>
        <w:rPr>
          <w:rFonts w:hint="eastAsia" w:ascii="仿宋" w:hAnsi="仿宋" w:eastAsia="仿宋"/>
          <w:sz w:val="32"/>
          <w:szCs w:val="32"/>
        </w:rPr>
        <w:t>）</w:t>
      </w:r>
      <w:r>
        <w:rPr>
          <w:rFonts w:hint="eastAsia" w:ascii="仿宋" w:hAnsi="仿宋" w:eastAsia="仿宋"/>
          <w:sz w:val="32"/>
          <w:szCs w:val="32"/>
          <w:lang w:bidi="ar"/>
        </w:rPr>
        <w:t>可以向票交所</w:t>
      </w:r>
      <w:r>
        <w:rPr>
          <w:rFonts w:hint="eastAsia" w:ascii="仿宋" w:hAnsi="仿宋" w:eastAsia="仿宋"/>
          <w:sz w:val="32"/>
          <w:szCs w:val="32"/>
        </w:rPr>
        <w:t>查询上一手背书人（或</w:t>
      </w:r>
      <w:r>
        <w:rPr>
          <w:rFonts w:hint="eastAsia" w:ascii="仿宋" w:hAnsi="仿宋" w:eastAsia="仿宋" w:cs="仿宋"/>
          <w:bCs/>
          <w:color w:val="000000"/>
          <w:sz w:val="32"/>
          <w:szCs w:val="32"/>
          <w:lang w:bidi="ar"/>
        </w:rPr>
        <w:t>已质押未解除票据的出质人</w:t>
      </w:r>
      <w:r>
        <w:rPr>
          <w:rFonts w:hint="eastAsia" w:ascii="仿宋" w:hAnsi="仿宋" w:eastAsia="仿宋"/>
          <w:sz w:val="32"/>
          <w:szCs w:val="32"/>
        </w:rPr>
        <w:t>）以及票据承兑人的信用信息。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票据的承兑人可以通过其承兑且未结清的票据查询其本人的信用信息。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4.票据到期日当日日终（</w:t>
      </w:r>
      <w:r>
        <w:rPr>
          <w:rFonts w:hint="eastAsia" w:ascii="仿宋" w:hAnsi="仿宋" w:eastAsia="仿宋" w:cs="仿宋"/>
          <w:sz w:val="32"/>
          <w:szCs w:val="32"/>
        </w:rPr>
        <w:t>遇法定休假日、大额支付系统非营业日、票据业务系统非营业日顺延</w:t>
      </w:r>
      <w:r>
        <w:rPr>
          <w:rFonts w:hint="eastAsia" w:ascii="仿宋" w:hAnsi="仿宋" w:eastAsia="仿宋"/>
          <w:sz w:val="32"/>
          <w:szCs w:val="32"/>
        </w:rPr>
        <w:t>）仍未结清，票交所处理为逾期。</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查询结果为截至查询日前一日日终数据。</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申请人对同一特定被查询人的信用信息查询业务每日只能发起一次。</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widowControl/>
        <w:numPr>
          <w:ilvl w:val="255"/>
          <w:numId w:val="0"/>
        </w:numPr>
        <w:spacing w:line="590" w:lineRule="exact"/>
        <w:ind w:firstLine="640" w:firstLineChars="200"/>
        <w:rPr>
          <w:rFonts w:ascii="仿宋" w:hAnsi="仿宋" w:eastAsia="仿宋" w:cs="仿宋"/>
          <w:sz w:val="32"/>
          <w:szCs w:val="32"/>
        </w:rPr>
      </w:pPr>
      <w:r>
        <w:rPr>
          <w:rFonts w:hint="eastAsia" w:ascii="仿宋" w:hAnsi="仿宋" w:eastAsia="仿宋"/>
          <w:sz w:val="32"/>
          <w:szCs w:val="32"/>
        </w:rPr>
        <w:t>1.查询人通过参与者服务机构客户终端，向票交所发起支付信用查询申请。</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（1）查询人要素信息；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（2）查询人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（4）信用信息分类（“待应答的业务申请人”、“上一手背书人”、“出质人”、“查询人本人”）</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2.参与者服务机构向票交所提交申请，并向申请人提示业务申请的处理结果。</w:t>
      </w:r>
    </w:p>
    <w:p>
      <w:pPr>
        <w:spacing w:line="590" w:lineRule="exact"/>
        <w:ind w:firstLine="640" w:firstLineChars="200"/>
        <w:rPr>
          <w:rFonts w:ascii="仿宋" w:hAnsi="仿宋" w:eastAsia="仿宋"/>
          <w:bCs/>
          <w:sz w:val="32"/>
          <w:szCs w:val="32"/>
        </w:rPr>
      </w:pPr>
      <w:r>
        <w:rPr>
          <w:rFonts w:hint="eastAsia" w:ascii="仿宋" w:hAnsi="仿宋" w:eastAsia="仿宋"/>
          <w:sz w:val="32"/>
          <w:szCs w:val="32"/>
        </w:rPr>
        <w:t>3.票交所接收申请信息并校验，判断无误，则向查询人反馈查询结果信息。返回的查询结果信息包括</w:t>
      </w:r>
      <w:r>
        <w:rPr>
          <w:rFonts w:hint="eastAsia" w:ascii="仿宋" w:hAnsi="仿宋" w:eastAsia="仿宋"/>
          <w:bCs/>
          <w:sz w:val="32"/>
          <w:szCs w:val="32"/>
        </w:rPr>
        <w:t>：</w:t>
      </w:r>
    </w:p>
    <w:p>
      <w:pPr>
        <w:spacing w:line="590" w:lineRule="exact"/>
        <w:ind w:firstLine="640" w:firstLineChars="200"/>
        <w:rPr>
          <w:rFonts w:ascii="仿宋" w:hAnsi="仿宋" w:eastAsia="仿宋"/>
          <w:bCs/>
          <w:sz w:val="32"/>
          <w:szCs w:val="32"/>
        </w:rPr>
      </w:pPr>
      <w:r>
        <w:rPr>
          <w:rFonts w:hint="eastAsia" w:ascii="仿宋" w:hAnsi="仿宋" w:eastAsia="仿宋"/>
          <w:bCs/>
          <w:sz w:val="32"/>
          <w:szCs w:val="32"/>
        </w:rPr>
        <w:t>（1）被查询人要素信息；</w:t>
      </w:r>
    </w:p>
    <w:p>
      <w:pPr>
        <w:spacing w:line="590" w:lineRule="exact"/>
        <w:ind w:firstLine="640" w:firstLineChars="200"/>
        <w:rPr>
          <w:rFonts w:ascii="仿宋" w:hAnsi="仿宋" w:eastAsia="仿宋"/>
          <w:bCs/>
          <w:sz w:val="32"/>
          <w:szCs w:val="32"/>
        </w:rPr>
      </w:pPr>
      <w:r>
        <w:rPr>
          <w:rFonts w:hint="eastAsia" w:ascii="仿宋" w:hAnsi="仿宋" w:eastAsia="仿宋"/>
          <w:bCs/>
          <w:sz w:val="32"/>
          <w:szCs w:val="32"/>
        </w:rPr>
        <w:t>（2）被查询人增信类别（“保贴”、“保兑”）、增信金额、增信人的参与者代码；</w:t>
      </w:r>
    </w:p>
    <w:p>
      <w:pPr>
        <w:spacing w:line="590" w:lineRule="exact"/>
        <w:ind w:firstLine="640" w:firstLineChars="200"/>
        <w:rPr>
          <w:rFonts w:ascii="仿宋" w:hAnsi="仿宋" w:eastAsia="仿宋"/>
          <w:bCs/>
          <w:sz w:val="32"/>
          <w:szCs w:val="32"/>
        </w:rPr>
      </w:pPr>
      <w:r>
        <w:rPr>
          <w:rFonts w:hint="eastAsia" w:ascii="仿宋" w:hAnsi="仿宋" w:eastAsia="仿宋"/>
          <w:bCs/>
          <w:sz w:val="32"/>
          <w:szCs w:val="32"/>
        </w:rPr>
        <w:t>（3）被查询人信用评级、评级主体、评级到期日、登记的参与者服务机构代码；</w:t>
      </w:r>
    </w:p>
    <w:p>
      <w:pPr>
        <w:spacing w:line="590" w:lineRule="exact"/>
        <w:ind w:firstLine="640" w:firstLineChars="200"/>
        <w:rPr>
          <w:rFonts w:ascii="仿宋" w:hAnsi="仿宋" w:eastAsia="仿宋"/>
          <w:sz w:val="32"/>
          <w:szCs w:val="32"/>
        </w:rPr>
      </w:pPr>
      <w:r>
        <w:rPr>
          <w:rFonts w:hint="eastAsia" w:ascii="仿宋" w:hAnsi="仿宋" w:eastAsia="仿宋"/>
          <w:bCs/>
          <w:sz w:val="32"/>
          <w:szCs w:val="32"/>
        </w:rPr>
        <w:t>（4）被查询人</w:t>
      </w:r>
      <w:r>
        <w:rPr>
          <w:rFonts w:hint="eastAsia" w:ascii="仿宋" w:hAnsi="仿宋" w:eastAsia="仿宋"/>
          <w:sz w:val="32"/>
          <w:szCs w:val="32"/>
        </w:rPr>
        <w:t>今年以来承兑发生额、去年以来承兑发生额、近五年来承兑发生额、承兑余额；</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w:t>
      </w:r>
      <w:r>
        <w:rPr>
          <w:rFonts w:hint="eastAsia" w:ascii="仿宋" w:hAnsi="仿宋" w:eastAsia="仿宋"/>
          <w:bCs/>
          <w:sz w:val="32"/>
          <w:szCs w:val="32"/>
        </w:rPr>
        <w:t>被查询人</w:t>
      </w:r>
      <w:r>
        <w:rPr>
          <w:rFonts w:hint="eastAsia" w:ascii="仿宋" w:hAnsi="仿宋" w:eastAsia="仿宋"/>
          <w:sz w:val="32"/>
          <w:szCs w:val="32"/>
        </w:rPr>
        <w:t>今年以来逾期发生额、去年以来逾期发生额、近五年来逾期发生额、逾期余额。</w:t>
      </w:r>
    </w:p>
    <w:p>
      <w:pPr>
        <w:spacing w:line="590" w:lineRule="exact"/>
        <w:ind w:firstLine="640" w:firstLineChars="200"/>
        <w:rPr>
          <w:rFonts w:ascii="仿宋" w:hAnsi="仿宋" w:eastAsia="仿宋"/>
          <w:sz w:val="32"/>
          <w:szCs w:val="32"/>
        </w:rPr>
      </w:pPr>
    </w:p>
    <w:p>
      <w:pPr>
        <w:spacing w:line="590" w:lineRule="exact"/>
        <w:ind w:firstLine="643" w:firstLineChars="200"/>
        <w:outlineLvl w:val="2"/>
        <w:rPr>
          <w:rFonts w:ascii="仿宋" w:hAnsi="仿宋" w:eastAsia="仿宋" w:cs="仿宋"/>
          <w:b/>
          <w:sz w:val="32"/>
          <w:szCs w:val="32"/>
        </w:rPr>
      </w:pPr>
      <w:bookmarkStart w:id="2073" w:name="_Toc13958"/>
      <w:bookmarkStart w:id="2074" w:name="_Toc27404"/>
      <w:bookmarkStart w:id="2075" w:name="_Toc7733"/>
      <w:bookmarkStart w:id="2076" w:name="_Toc10950"/>
      <w:bookmarkStart w:id="2077" w:name="_Toc18022"/>
      <w:bookmarkStart w:id="2078" w:name="_Toc8068"/>
      <w:bookmarkStart w:id="2079" w:name="_Toc7780"/>
      <w:bookmarkStart w:id="2080" w:name="_Toc1574719416"/>
      <w:bookmarkStart w:id="2081" w:name="_Toc13087"/>
      <w:bookmarkStart w:id="2082" w:name="_Toc31217"/>
      <w:bookmarkStart w:id="2083" w:name="_Toc27055"/>
      <w:bookmarkStart w:id="2084" w:name="_Toc19917"/>
      <w:bookmarkStart w:id="2085" w:name="_Toc11958"/>
      <w:bookmarkStart w:id="2086" w:name="_Toc4194"/>
      <w:bookmarkStart w:id="2087" w:name="_Toc1605"/>
      <w:bookmarkStart w:id="2088" w:name="_Toc20612"/>
      <w:r>
        <w:rPr>
          <w:rFonts w:hint="eastAsia" w:ascii="仿宋" w:hAnsi="仿宋" w:eastAsia="仿宋" w:cs="仿宋"/>
          <w:b/>
          <w:sz w:val="32"/>
          <w:szCs w:val="32"/>
        </w:rPr>
        <w:t>9.1.2 供应链平台票据业务信息查询</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pPr>
        <w:spacing w:line="590" w:lineRule="exact"/>
        <w:ind w:firstLine="643" w:firstLineChars="200"/>
        <w:outlineLvl w:val="3"/>
        <w:rPr>
          <w:rFonts w:ascii="仿宋" w:hAnsi="仿宋" w:eastAsia="仿宋" w:cs="仿宋"/>
          <w:b/>
          <w:color w:val="000000" w:themeColor="text1"/>
          <w:spacing w:val="-7"/>
          <w:sz w:val="32"/>
          <w14:textFill>
            <w14:solidFill>
              <w14:schemeClr w14:val="tx1"/>
            </w14:solidFill>
          </w14:textFill>
        </w:rPr>
      </w:pPr>
      <w:bookmarkStart w:id="2089" w:name="_Toc13324"/>
      <w:r>
        <w:rPr>
          <w:rFonts w:hint="eastAsia" w:ascii="仿宋" w:hAnsi="仿宋" w:eastAsia="仿宋" w:cs="仿宋"/>
          <w:b/>
          <w:bCs/>
          <w:sz w:val="32"/>
          <w:szCs w:val="32"/>
        </w:rPr>
        <w:t>9</w:t>
      </w:r>
      <w:r>
        <w:rPr>
          <w:rFonts w:hint="eastAsia" w:ascii="仿宋" w:hAnsi="仿宋" w:eastAsia="仿宋" w:cs="仿宋"/>
          <w:b/>
          <w:color w:val="000000" w:themeColor="text1"/>
          <w:spacing w:val="-7"/>
          <w:sz w:val="32"/>
          <w14:textFill>
            <w14:solidFill>
              <w14:schemeClr w14:val="tx1"/>
            </w14:solidFill>
          </w14:textFill>
        </w:rPr>
        <w:t>.1.2.1 开户行票据信息查询</w:t>
      </w:r>
      <w:bookmarkEnd w:id="2089"/>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[业务概述]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金融机构可以查询企业</w:t>
      </w:r>
      <w:r>
        <w:rPr>
          <w:rFonts w:hint="eastAsia" w:ascii="仿宋" w:hAnsi="仿宋" w:eastAsia="仿宋" w:cs="仿宋"/>
          <w:sz w:val="32"/>
          <w:szCs w:val="32"/>
        </w:rPr>
        <w:t>等间接参与者</w:t>
      </w:r>
      <w:r>
        <w:rPr>
          <w:rFonts w:hint="eastAsia" w:ascii="仿宋" w:hAnsi="仿宋" w:eastAsia="仿宋" w:cs="仿宋"/>
          <w:color w:val="000000" w:themeColor="text1"/>
          <w:spacing w:val="-7"/>
          <w:sz w:val="32"/>
          <w14:textFill>
            <w14:solidFill>
              <w14:schemeClr w14:val="tx1"/>
            </w14:solidFill>
          </w14:textFill>
        </w:rPr>
        <w:t>以其为结算账户开户行通过供应链平台办理的票据业务信息。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[业务规则]</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1.出票人、承兑人、收款人通过供应链平台办理的出票信息登记、承兑和收票，出票人、承兑人、收款人登记的结算账户开户行可以查询票据</w:t>
      </w:r>
      <w:r>
        <w:rPr>
          <w:rFonts w:hint="eastAsia" w:ascii="仿宋" w:hAnsi="仿宋" w:eastAsia="仿宋" w:cs="仿宋"/>
          <w:color w:val="000000" w:themeColor="text1"/>
          <w:spacing w:val="-7"/>
          <w:sz w:val="32"/>
          <w:szCs w:val="32"/>
          <w14:textFill>
            <w14:solidFill>
              <w14:schemeClr w14:val="tx1"/>
            </w14:solidFill>
          </w14:textFill>
        </w:rPr>
        <w:t>相关</w:t>
      </w:r>
      <w:r>
        <w:rPr>
          <w:rFonts w:hint="eastAsia" w:ascii="仿宋" w:hAnsi="仿宋" w:eastAsia="仿宋" w:cs="仿宋"/>
          <w:color w:val="000000" w:themeColor="text1"/>
          <w:spacing w:val="-7"/>
          <w:sz w:val="32"/>
          <w14:textFill>
            <w14:solidFill>
              <w14:schemeClr w14:val="tx1"/>
            </w14:solidFill>
          </w14:textFill>
        </w:rPr>
        <w:t>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2.保证人、被保证人通过供应链平台办理的保证，保证人、被保证人登记的结算账户开户行可以查询票据保证信息。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3.背书人、被背书人通过供应链平台办理的转让背书，背书人、被背书人登记的结算账户开户行可以查询票据背书信息。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[业务流程]</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1.金融机构向票交所提交票据信息查询申请。需提供的要素信息包括：</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（1）查询的业务类型（“承兑”、“提示收票”、“保证”、“转让背书”）；</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（2）查询机构的参与者代码；</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（3）票据（包）号、子票区间。</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w:t>
      </w:r>
      <w:r>
        <w:rPr>
          <w:rFonts w:hint="eastAsia" w:ascii="仿宋" w:hAnsi="仿宋" w:eastAsia="仿宋" w:cs="仿宋"/>
          <w:sz w:val="32"/>
          <w:szCs w:val="32"/>
        </w:rPr>
        <w:t>票交所接收申请信息并校验，判断无误，则向查询人反馈查询结果信息。返回的查询结果信息包括</w:t>
      </w:r>
      <w:r>
        <w:rPr>
          <w:rFonts w:hint="eastAsia" w:ascii="仿宋" w:hAnsi="仿宋" w:eastAsia="仿宋" w:cs="仿宋"/>
          <w:color w:val="000000" w:themeColor="text1"/>
          <w:spacing w:val="-7"/>
          <w:sz w:val="32"/>
          <w14:textFill>
            <w14:solidFill>
              <w14:schemeClr w14:val="tx1"/>
            </w14:solidFill>
          </w14:textFill>
        </w:rPr>
        <w:t>：</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（1）票据（包）号、子票区间、票据（包）金额、标准金额、出票日期、到期日、不得转让标记、备注；</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（2）出票人要素信息；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（3）承兑人要素信息；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（4）收款人要素信息；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（5）被查询业务（“承兑”、“提示收票”、“保证”、“转让背书”，下同）的发起人要素信息；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（6）被查询业务的接收人要素信息；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（7）被查询业务的业务类型、业务日期、业务时间。</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p>
    <w:p>
      <w:pPr>
        <w:spacing w:line="590" w:lineRule="exact"/>
        <w:ind w:firstLine="615" w:firstLineChars="200"/>
        <w:outlineLvl w:val="3"/>
        <w:rPr>
          <w:rFonts w:ascii="仿宋" w:hAnsi="仿宋" w:eastAsia="仿宋" w:cs="仿宋"/>
          <w:b/>
          <w:color w:val="000000" w:themeColor="text1"/>
          <w:spacing w:val="-7"/>
          <w:sz w:val="32"/>
          <w14:textFill>
            <w14:solidFill>
              <w14:schemeClr w14:val="tx1"/>
            </w14:solidFill>
          </w14:textFill>
        </w:rPr>
      </w:pPr>
      <w:bookmarkStart w:id="2090" w:name="_Toc28945"/>
      <w:r>
        <w:rPr>
          <w:rFonts w:hint="eastAsia" w:ascii="仿宋" w:hAnsi="仿宋" w:eastAsia="仿宋" w:cs="仿宋"/>
          <w:b/>
          <w:color w:val="000000" w:themeColor="text1"/>
          <w:spacing w:val="-7"/>
          <w:sz w:val="32"/>
          <w14:textFill>
            <w14:solidFill>
              <w14:schemeClr w14:val="tx1"/>
            </w14:solidFill>
          </w14:textFill>
        </w:rPr>
        <w:t>9.1.2.2 供应链票据映射关系查询</w:t>
      </w:r>
      <w:bookmarkEnd w:id="2090"/>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[业务概述]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查询人可以查询供应链票据与虚拟票号的映射关系情况。</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[业务规则]</w:t>
      </w:r>
    </w:p>
    <w:p>
      <w:pPr>
        <w:numPr>
          <w:ilvl w:val="0"/>
          <w:numId w:val="30"/>
        </w:num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通过供应链平台办理业务的承兑人、承兑保证人，其登记的结算账户开户行可作为查询人发起查询申请。</w:t>
      </w:r>
    </w:p>
    <w:p>
      <w:pPr>
        <w:numPr>
          <w:ilvl w:val="0"/>
          <w:numId w:val="30"/>
        </w:num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虚拟票号的贴入人、持票人可作为查询人发起查询申请。</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3.通过供应链平台办理业务的承兑人，可作为查询人发起查询申请。</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4.查询类型分为：</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（1）根据票据（包）号查询虚拟票号；</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（2）根据虚拟票号查询票据（包）号。</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[业务流程]</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1.查询人可自行发起或通过供应链平台向票交所发起供应链票据映射关系查询申请。需提供的要素信息包括：</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（1）查询类型（“根据虚拟票号查询”、“根据票据（包）号查询”）；</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（2）票据（包）号、子票区间，或虚拟票号；</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（3）查询人要素信息；</w:t>
      </w:r>
    </w:p>
    <w:p>
      <w:pPr>
        <w:spacing w:line="590" w:lineRule="exact"/>
        <w:ind w:firstLine="612" w:firstLineChars="200"/>
        <w:rPr>
          <w:rFonts w:ascii="仿宋" w:hAnsi="仿宋" w:eastAsia="仿宋" w:cs="仿宋"/>
          <w:bCs/>
          <w:color w:val="000000"/>
          <w:sz w:val="32"/>
          <w:szCs w:val="32"/>
          <w:lang w:bidi="ar"/>
        </w:rPr>
      </w:pPr>
      <w:r>
        <w:rPr>
          <w:rFonts w:hint="eastAsia" w:ascii="仿宋" w:hAnsi="仿宋" w:eastAsia="仿宋" w:cs="仿宋"/>
          <w:color w:val="000000" w:themeColor="text1"/>
          <w:spacing w:val="-7"/>
          <w:sz w:val="32"/>
          <w14:textFill>
            <w14:solidFill>
              <w14:schemeClr w14:val="tx1"/>
            </w14:solidFill>
          </w14:textFill>
        </w:rPr>
        <w:t>（4）查询人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bCs/>
          <w:color w:val="000000"/>
          <w:sz w:val="32"/>
          <w:szCs w:val="32"/>
          <w:lang w:bidi="ar"/>
        </w:rPr>
      </w:pPr>
      <w:r>
        <w:rPr>
          <w:rFonts w:hint="eastAsia" w:ascii="仿宋" w:hAnsi="仿宋" w:eastAsia="仿宋" w:cs="仿宋"/>
          <w:sz w:val="32"/>
          <w:szCs w:val="32"/>
        </w:rPr>
        <w:t>（5）承接机构与被承接机构的参与者代码（查询人要素信息中的账户开户机构发生承接的）。</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w:t>
      </w:r>
      <w:r>
        <w:rPr>
          <w:rFonts w:hint="eastAsia" w:ascii="仿宋" w:hAnsi="仿宋" w:eastAsia="仿宋" w:cs="仿宋"/>
          <w:sz w:val="32"/>
          <w:szCs w:val="32"/>
        </w:rPr>
        <w:t>票交所接收申请信息并校验，判断无误，则向查询人反馈查询结果信息。返回的查询结果信息包括</w:t>
      </w:r>
      <w:r>
        <w:rPr>
          <w:rFonts w:hint="eastAsia" w:ascii="仿宋" w:hAnsi="仿宋" w:eastAsia="仿宋" w:cs="仿宋"/>
          <w:color w:val="000000" w:themeColor="text1"/>
          <w:spacing w:val="-7"/>
          <w:sz w:val="32"/>
          <w14:textFill>
            <w14:solidFill>
              <w14:schemeClr w14:val="tx1"/>
            </w14:solidFill>
          </w14:textFill>
        </w:rPr>
        <w:t>：</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（1）票据（包）号、子票区间；</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（2）虚拟票号。</w:t>
      </w:r>
    </w:p>
    <w:p>
      <w:pPr>
        <w:spacing w:line="590" w:lineRule="exact"/>
        <w:ind w:firstLine="612" w:firstLineChars="200"/>
        <w:rPr>
          <w:rFonts w:hint="eastAsia" w:ascii="仿宋" w:hAnsi="仿宋"/>
          <w:color w:val="000000" w:themeColor="text1"/>
          <w:spacing w:val="-7"/>
          <w:sz w:val="32"/>
          <w14:textFill>
            <w14:solidFill>
              <w14:schemeClr w14:val="tx1"/>
            </w14:solidFill>
          </w14:textFill>
        </w:rPr>
      </w:pPr>
    </w:p>
    <w:p>
      <w:pPr>
        <w:spacing w:line="590" w:lineRule="exact"/>
        <w:ind w:firstLine="615" w:firstLineChars="200"/>
        <w:outlineLvl w:val="3"/>
        <w:rPr>
          <w:rFonts w:ascii="仿宋" w:hAnsi="仿宋" w:eastAsia="仿宋" w:cs="仿宋"/>
          <w:b/>
          <w:color w:val="000000" w:themeColor="text1"/>
          <w:spacing w:val="-7"/>
          <w:sz w:val="32"/>
          <w14:textFill>
            <w14:solidFill>
              <w14:schemeClr w14:val="tx1"/>
            </w14:solidFill>
          </w14:textFill>
        </w:rPr>
      </w:pPr>
      <w:bookmarkStart w:id="2091" w:name="_Toc14963"/>
      <w:r>
        <w:rPr>
          <w:rFonts w:hint="eastAsia" w:ascii="仿宋" w:hAnsi="仿宋" w:eastAsia="仿宋" w:cs="仿宋"/>
          <w:b/>
          <w:color w:val="000000" w:themeColor="text1"/>
          <w:spacing w:val="-7"/>
          <w:sz w:val="32"/>
          <w14:textFill>
            <w14:solidFill>
              <w14:schemeClr w14:val="tx1"/>
            </w14:solidFill>
          </w14:textFill>
        </w:rPr>
        <w:t>9.1.2.3 供应链平台票据供数文件</w:t>
      </w:r>
      <w:bookmarkEnd w:id="2091"/>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[文件名称]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CDBP_CDINFO_DAILY-参与者服务机构代码-YYYYMMDD.DAT</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[文件概述]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本文件保存会员项下直接参与者作为供应链票据开户行每日承兑/保证/背书流转/提示收票信息。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[文件内容]</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包括票据（包）号码、金额、到期日等基本票据信息以及相关业务行为人信息。具体文件格式及信息字段详见票据业务系统直连接口规范概述分册附件。</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bookmarkStart w:id="2092" w:name="_Toc459"/>
      <w:bookmarkEnd w:id="2092"/>
      <w:bookmarkStart w:id="2093" w:name="_Toc28198"/>
    </w:p>
    <w:p>
      <w:pPr>
        <w:spacing w:line="590" w:lineRule="exact"/>
        <w:ind w:firstLine="643" w:firstLineChars="200"/>
        <w:outlineLvl w:val="2"/>
        <w:rPr>
          <w:rFonts w:ascii="仿宋" w:hAnsi="仿宋" w:eastAsia="仿宋" w:cs="仿宋"/>
          <w:b/>
          <w:color w:val="000000" w:themeColor="text1"/>
          <w:spacing w:val="-7"/>
          <w:sz w:val="32"/>
          <w14:textFill>
            <w14:solidFill>
              <w14:schemeClr w14:val="tx1"/>
            </w14:solidFill>
          </w14:textFill>
        </w:rPr>
      </w:pPr>
      <w:bookmarkStart w:id="2094" w:name="_Toc1190995300"/>
      <w:bookmarkStart w:id="2095" w:name="_Toc25986"/>
      <w:bookmarkStart w:id="2096" w:name="_Toc726"/>
      <w:bookmarkStart w:id="2097" w:name="_Toc31716"/>
      <w:bookmarkStart w:id="2098" w:name="_Toc12981"/>
      <w:bookmarkStart w:id="2099" w:name="_Toc16839"/>
      <w:bookmarkStart w:id="2100" w:name="_Toc420"/>
      <w:bookmarkStart w:id="2101" w:name="_Toc27724"/>
      <w:bookmarkStart w:id="2102" w:name="_Toc21896"/>
      <w:bookmarkStart w:id="2103" w:name="_Toc24635"/>
      <w:bookmarkStart w:id="2104" w:name="_Toc7308"/>
      <w:bookmarkStart w:id="2105" w:name="_Toc4549"/>
      <w:bookmarkStart w:id="2106" w:name="_Toc28817"/>
      <w:bookmarkStart w:id="2107" w:name="_Toc23271"/>
      <w:bookmarkStart w:id="2108" w:name="_Toc23498"/>
      <w:bookmarkStart w:id="2109" w:name="_Toc28006"/>
      <w:bookmarkStart w:id="2110" w:name="_Toc7876"/>
      <w:r>
        <w:rPr>
          <w:rFonts w:hint="eastAsia" w:ascii="仿宋" w:hAnsi="仿宋" w:eastAsia="仿宋" w:cs="仿宋"/>
          <w:b/>
          <w:sz w:val="32"/>
          <w:szCs w:val="32"/>
        </w:rPr>
        <w:t>9</w:t>
      </w:r>
      <w:r>
        <w:rPr>
          <w:rFonts w:hint="eastAsia" w:ascii="仿宋" w:hAnsi="仿宋" w:eastAsia="仿宋" w:cs="仿宋"/>
          <w:b/>
          <w:color w:val="000000" w:themeColor="text1"/>
          <w:spacing w:val="-7"/>
          <w:sz w:val="32"/>
          <w14:textFill>
            <w14:solidFill>
              <w14:schemeClr w14:val="tx1"/>
            </w14:solidFill>
          </w14:textFill>
        </w:rPr>
        <w:t>.1.3 交易关系信息查询</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[业务概述]</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查询人可以查询票据的出票或转让背书业务关联的交易关系信息。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[业务规则]</w:t>
      </w:r>
    </w:p>
    <w:p>
      <w:pPr>
        <w:numPr>
          <w:ilvl w:val="0"/>
          <w:numId w:val="31"/>
        </w:num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交易关系信息的登记人可以查询登记的交易关系信息。</w:t>
      </w:r>
    </w:p>
    <w:p>
      <w:pPr>
        <w:numPr>
          <w:ilvl w:val="0"/>
          <w:numId w:val="31"/>
        </w:num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出票人、承兑人、收款人可以查询出票行为的交易关系信息。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3.贴现申请人或其前手可以查询背书行为的交易关系信息。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4.贴现的贴入人可以查询贴现申请人与其前手之间转让背书的交易关系信息。</w:t>
      </w:r>
    </w:p>
    <w:p>
      <w:pPr>
        <w:spacing w:line="590" w:lineRule="exact"/>
        <w:ind w:firstLine="615" w:firstLineChars="200"/>
        <w:rPr>
          <w:rFonts w:ascii="仿宋" w:hAnsi="仿宋" w:eastAsia="仿宋" w:cs="仿宋"/>
          <w:b/>
          <w:color w:val="000000" w:themeColor="text1"/>
          <w:spacing w:val="-7"/>
          <w:sz w:val="32"/>
          <w14:textFill>
            <w14:solidFill>
              <w14:schemeClr w14:val="tx1"/>
            </w14:solidFill>
          </w14:textFill>
        </w:rPr>
      </w:pPr>
      <w:r>
        <w:rPr>
          <w:rFonts w:hint="eastAsia" w:ascii="仿宋" w:hAnsi="仿宋" w:eastAsia="仿宋" w:cs="仿宋"/>
          <w:b/>
          <w:color w:val="000000" w:themeColor="text1"/>
          <w:spacing w:val="-7"/>
          <w:sz w:val="32"/>
          <w14:textFill>
            <w14:solidFill>
              <w14:schemeClr w14:val="tx1"/>
            </w14:solidFill>
          </w14:textFill>
        </w:rPr>
        <w:t>[业务流程]</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1.查询人可自行发起或通过参与者服务机构向票交所发起票据的交易关系信息查询申请。需提供的业务要素包括：</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（1）查询人要素信息；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（2）查询人</w:t>
      </w:r>
      <w:r>
        <w:rPr>
          <w:rFonts w:hint="eastAsia" w:ascii="仿宋" w:hAnsi="仿宋" w:eastAsia="仿宋" w:cs="仿宋"/>
          <w:bCs/>
          <w:color w:val="000000"/>
          <w:sz w:val="32"/>
          <w:szCs w:val="32"/>
          <w:lang w:bidi="ar"/>
        </w:rPr>
        <w:t>的签章标记、电子签名；</w:t>
      </w:r>
    </w:p>
    <w:p>
      <w:pPr>
        <w:spacing w:line="590" w:lineRule="exact"/>
        <w:ind w:firstLine="640"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sz w:val="32"/>
          <w:szCs w:val="32"/>
        </w:rPr>
        <w:t>（3）票据（包）号、子票区间、票据（包）金额、标准金额；</w:t>
      </w:r>
    </w:p>
    <w:p>
      <w:pPr>
        <w:spacing w:line="590" w:lineRule="exact"/>
        <w:ind w:firstLine="612" w:firstLineChars="200"/>
        <w:rPr>
          <w:rFonts w:hint="eastAsia" w:ascii="仿宋" w:hAnsi="仿宋" w:eastAsia="仿宋" w:cs="仿宋"/>
          <w:color w:val="000000" w:themeColor="text1"/>
          <w:spacing w:val="-7"/>
          <w:sz w:val="32"/>
          <w:lang w:eastAsia="zh-CN"/>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（4）票据行为（“出票”、“背书”）、票据行为流水号</w:t>
      </w:r>
      <w:r>
        <w:rPr>
          <w:rFonts w:hint="eastAsia" w:ascii="仿宋" w:hAnsi="仿宋" w:eastAsia="仿宋" w:cs="仿宋"/>
          <w:color w:val="000000" w:themeColor="text1"/>
          <w:spacing w:val="-7"/>
          <w:sz w:val="32"/>
          <w:lang w:eastAsia="zh-CN"/>
          <w14:textFill>
            <w14:solidFill>
              <w14:schemeClr w14:val="tx1"/>
            </w14:solidFill>
          </w14:textFill>
        </w:rPr>
        <w:t>；</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（5）查询日期。</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w:t>
      </w:r>
      <w:r>
        <w:rPr>
          <w:rFonts w:hint="eastAsia" w:ascii="仿宋" w:hAnsi="仿宋" w:eastAsia="仿宋" w:cs="仿宋"/>
          <w:sz w:val="32"/>
          <w:szCs w:val="32"/>
        </w:rPr>
        <w:t>票交所接收申请信息并校验，判断无误，则向查询人反馈查询结果信息。返回的查询结果信息包括</w:t>
      </w:r>
      <w:r>
        <w:rPr>
          <w:rFonts w:hint="eastAsia" w:ascii="仿宋" w:hAnsi="仿宋" w:eastAsia="仿宋" w:cs="仿宋"/>
          <w:color w:val="000000" w:themeColor="text1"/>
          <w:spacing w:val="-7"/>
          <w:sz w:val="32"/>
          <w14:textFill>
            <w14:solidFill>
              <w14:schemeClr w14:val="tx1"/>
            </w14:solidFill>
          </w14:textFill>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（1）票据（包）号、子票区间、票据（包）金额、标准金额、票据行为（“出票”、“背书”）、票据行为流水号；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（2）交易总金额、交易方式（“货物贸易”、“服务贸易”、“货服贸易”、“其他”）；</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（3）买方要素信息；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（4）卖方要素信息；</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（5）合同类型（“合同”、“订单”）、合同交易方式（“货物贸易”、“服务贸易”、“货服贸易”、“其他”）、合同编号、发生日期、合同金额、合同附件编号；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（6）发票号码、发票代码、发票含税金额、开票日期、发票种类（“增值税专用发票”、“增值税普通发票”）、发票附件编号、使用次数；</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（7）其他凭证编号、其他凭证用途、其他凭证附件编号；</w:t>
      </w:r>
    </w:p>
    <w:p>
      <w:pPr>
        <w:widowControl/>
        <w:spacing w:line="590" w:lineRule="exact"/>
        <w:ind w:firstLine="612" w:firstLineChars="200"/>
        <w:jc w:val="left"/>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（8）供应链信息与票据信息是否匹配；</w:t>
      </w:r>
    </w:p>
    <w:p>
      <w:pPr>
        <w:spacing w:line="590" w:lineRule="exact"/>
        <w:ind w:firstLine="612" w:firstLineChars="200"/>
        <w:rPr>
          <w:rFonts w:ascii="仿宋" w:hAnsi="仿宋" w:eastAsia="仿宋" w:cs="仿宋"/>
          <w:color w:val="000000" w:themeColor="text1"/>
          <w:spacing w:val="-7"/>
          <w:sz w:val="32"/>
          <w14:textFill>
            <w14:solidFill>
              <w14:schemeClr w14:val="tx1"/>
            </w14:solidFill>
          </w14:textFill>
        </w:rPr>
      </w:pPr>
      <w:r>
        <w:rPr>
          <w:rFonts w:hint="eastAsia" w:ascii="仿宋" w:hAnsi="仿宋" w:eastAsia="仿宋" w:cs="仿宋"/>
          <w:color w:val="000000" w:themeColor="text1"/>
          <w:spacing w:val="-7"/>
          <w:sz w:val="32"/>
          <w14:textFill>
            <w14:solidFill>
              <w14:schemeClr w14:val="tx1"/>
            </w14:solidFill>
          </w14:textFill>
        </w:rPr>
        <w:t>（9）备注。</w:t>
      </w:r>
    </w:p>
    <w:p>
      <w:pPr>
        <w:spacing w:line="590" w:lineRule="exact"/>
        <w:ind w:firstLine="612" w:firstLineChars="200"/>
        <w:rPr>
          <w:rFonts w:hint="eastAsia" w:ascii="仿宋" w:hAnsi="仿宋"/>
          <w:color w:val="000000" w:themeColor="text1"/>
          <w:spacing w:val="-7"/>
          <w:sz w:val="32"/>
          <w14:textFill>
            <w14:solidFill>
              <w14:schemeClr w14:val="tx1"/>
            </w14:solidFill>
          </w14:textFill>
        </w:rPr>
      </w:pPr>
    </w:p>
    <w:p>
      <w:pPr>
        <w:spacing w:line="590" w:lineRule="exact"/>
        <w:ind w:firstLine="643" w:firstLineChars="200"/>
        <w:outlineLvl w:val="2"/>
        <w:rPr>
          <w:rFonts w:ascii="仿宋" w:hAnsi="仿宋" w:eastAsia="仿宋" w:cs="仿宋"/>
          <w:b/>
          <w:sz w:val="32"/>
          <w:szCs w:val="32"/>
        </w:rPr>
      </w:pPr>
      <w:bookmarkStart w:id="2111" w:name="_Toc243"/>
      <w:bookmarkStart w:id="2112" w:name="_Toc17373"/>
      <w:bookmarkStart w:id="2113" w:name="_Toc10087"/>
      <w:bookmarkStart w:id="2114" w:name="_Toc7827"/>
      <w:bookmarkStart w:id="2115" w:name="_Toc313636737"/>
      <w:bookmarkStart w:id="2116" w:name="_Toc25924"/>
      <w:bookmarkStart w:id="2117" w:name="_Toc27057"/>
      <w:bookmarkStart w:id="2118" w:name="_Toc28197"/>
      <w:bookmarkStart w:id="2119" w:name="_Toc18542"/>
      <w:bookmarkStart w:id="2120" w:name="_Toc23863"/>
      <w:bookmarkStart w:id="2121" w:name="_Toc14302"/>
      <w:bookmarkStart w:id="2122" w:name="_Toc7047"/>
      <w:bookmarkStart w:id="2123" w:name="_Toc27234"/>
      <w:bookmarkStart w:id="2124" w:name="_Toc26233"/>
      <w:bookmarkStart w:id="2125" w:name="_Toc27773"/>
      <w:bookmarkStart w:id="2126" w:name="_Toc20756"/>
      <w:r>
        <w:rPr>
          <w:rFonts w:hint="eastAsia" w:ascii="仿宋" w:hAnsi="仿宋" w:eastAsia="仿宋" w:cs="仿宋"/>
          <w:b/>
          <w:sz w:val="32"/>
          <w:szCs w:val="32"/>
        </w:rPr>
        <w:t>9.1.4 间接参与者备案登记信息查询</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参与者服务机构查询其备案登记登记的间接参与者的备案登记信息。</w:t>
      </w:r>
    </w:p>
    <w:p>
      <w:pPr>
        <w:spacing w:line="590" w:lineRule="exact"/>
        <w:ind w:firstLine="643" w:firstLineChars="200"/>
        <w:rPr>
          <w:rFonts w:ascii="仿宋" w:hAnsi="仿宋" w:eastAsia="仿宋"/>
          <w:b/>
          <w:sz w:val="32"/>
          <w:szCs w:val="32"/>
        </w:rPr>
      </w:pPr>
      <w:r>
        <w:rPr>
          <w:rFonts w:hint="eastAsia" w:ascii="仿宋" w:hAnsi="仿宋" w:eastAsia="仿宋"/>
          <w:b/>
          <w:sz w:val="32"/>
          <w:szCs w:val="32"/>
        </w:rPr>
        <w:t>[业务流程]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1.参与者服务机构向票交所提交业务参与者信息查询申请，需提供的要素信息包括：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（1）查询人要素信息；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）被查询人统一社会信用代码；</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w:t>
      </w:r>
      <w:r>
        <w:rPr>
          <w:rFonts w:hint="eastAsia" w:ascii="仿宋" w:hAnsi="仿宋" w:eastAsia="仿宋"/>
          <w:sz w:val="32"/>
          <w:szCs w:val="32"/>
        </w:rPr>
        <w:t>）查询日期、查询种类（“结算账户信息查询”、“基本信息查询”）。</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2.票交所接收申请信息并校验，判断无误，则向查询人反馈查询结果信息。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（1）查询种类为“结算账户信息查询”时，返回的查询结果信息包括：</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被查询人名称、统一社会信用代码；</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查询种类（“结算账户信息查询”）；</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备案登记的结算账户总数；</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备案登记的结算账户名称、账号、开户行行号、备用清算标识（用于供应链平台备案登记的间接参与者信息）、账户类别（“基本存款账户”、“一般存款账户”、“专用存款账户”、“临时存款账户”、“其他账户”）、账户生效日、账户有效期至、登记备案登记日期、联系人姓名、联系方式</w:t>
      </w:r>
      <w:r>
        <w:rPr>
          <w:rFonts w:hint="eastAsia" w:ascii="仿宋" w:hAnsi="仿宋" w:eastAsia="仿宋"/>
          <w:sz w:val="32"/>
          <w:szCs w:val="32"/>
          <w:lang w:eastAsia="zh-CN"/>
        </w:rPr>
        <w:t>等</w:t>
      </w:r>
      <w:r>
        <w:rPr>
          <w:rFonts w:hint="eastAsia" w:ascii="仿宋" w:hAnsi="仿宋" w:eastAsia="仿宋"/>
          <w:sz w:val="32"/>
          <w:szCs w:val="32"/>
        </w:rPr>
        <w:t>。</w:t>
      </w:r>
    </w:p>
    <w:p>
      <w:pPr>
        <w:numPr>
          <w:ilvl w:val="255"/>
          <w:numId w:val="0"/>
        </w:numPr>
        <w:spacing w:line="590" w:lineRule="exact"/>
        <w:ind w:firstLine="640" w:firstLineChars="200"/>
        <w:rPr>
          <w:rFonts w:ascii="仿宋" w:hAnsi="仿宋" w:eastAsia="仿宋"/>
          <w:sz w:val="32"/>
          <w:szCs w:val="32"/>
        </w:rPr>
      </w:pPr>
      <w:r>
        <w:rPr>
          <w:rFonts w:hint="eastAsia" w:ascii="仿宋" w:hAnsi="仿宋" w:eastAsia="仿宋"/>
          <w:sz w:val="32"/>
          <w:szCs w:val="32"/>
        </w:rPr>
        <w:t>（2）查询种类为“基本信息查询”时，返回的查询结果信息包括：</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被查询人名称、统一社会信用代码；</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查询种类（“基本信息查询”）；</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名称、统一社会信用代码、中征码、LEI码、联系邮箱、注册地址、主要经营地址；</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规模（“大型企业”、“中型企业”、“小型企业”、“微型企业”、“其他”）、行业分类、是否涉农、是否绿色、客户性质（“国有”、“集体”、“联营”、“三资”、“私营”、“其他”）、是否科技；</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信用评级、评级主体、评级到期日；</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法定代表人</w:t>
      </w:r>
      <w:r>
        <w:rPr>
          <w:rFonts w:hint="eastAsia" w:ascii="仿宋" w:hAnsi="仿宋" w:eastAsia="仿宋"/>
          <w:sz w:val="32"/>
          <w:szCs w:val="32"/>
          <w:lang w:val="en-US" w:eastAsia="zh-CN"/>
        </w:rPr>
        <w:t>信息</w:t>
      </w:r>
      <w:r>
        <w:rPr>
          <w:rFonts w:hint="eastAsia" w:ascii="仿宋" w:hAnsi="仿宋" w:eastAsia="仿宋"/>
          <w:sz w:val="32"/>
          <w:szCs w:val="32"/>
        </w:rPr>
        <w:t>；</w:t>
      </w:r>
    </w:p>
    <w:p>
      <w:pPr>
        <w:numPr>
          <w:ilvl w:val="0"/>
          <w:numId w:val="32"/>
        </w:numPr>
        <w:spacing w:line="590" w:lineRule="exact"/>
        <w:ind w:left="0" w:firstLine="640" w:firstLineChars="200"/>
        <w:rPr>
          <w:rFonts w:ascii="仿宋" w:hAnsi="仿宋" w:eastAsia="仿宋"/>
          <w:sz w:val="32"/>
          <w:szCs w:val="32"/>
        </w:rPr>
      </w:pPr>
      <w:r>
        <w:rPr>
          <w:rFonts w:hint="eastAsia" w:ascii="仿宋" w:hAnsi="仿宋" w:eastAsia="仿宋"/>
          <w:sz w:val="32"/>
          <w:szCs w:val="32"/>
        </w:rPr>
        <w:t>附件类型、附件批次号等备案登记的附件信息。</w:t>
      </w:r>
    </w:p>
    <w:p>
      <w:pPr>
        <w:numPr>
          <w:ilvl w:val="255"/>
          <w:numId w:val="0"/>
        </w:numPr>
        <w:spacing w:line="590" w:lineRule="exact"/>
        <w:ind w:left="420" w:leftChars="200"/>
        <w:rPr>
          <w:rFonts w:ascii="仿宋" w:hAnsi="仿宋" w:eastAsia="仿宋"/>
          <w:sz w:val="32"/>
          <w:szCs w:val="32"/>
        </w:rPr>
      </w:pPr>
    </w:p>
    <w:bookmarkEnd w:id="2093"/>
    <w:p>
      <w:pPr>
        <w:spacing w:line="590" w:lineRule="exact"/>
        <w:ind w:firstLine="615" w:firstLineChars="200"/>
        <w:rPr>
          <w:rFonts w:ascii="仿宋" w:hAnsi="仿宋" w:eastAsia="仿宋" w:cs="仿宋"/>
          <w:b/>
          <w:sz w:val="32"/>
          <w:szCs w:val="32"/>
        </w:rPr>
      </w:pPr>
      <w:bookmarkStart w:id="2127" w:name="_Toc7425"/>
      <w:bookmarkStart w:id="2128" w:name="_Toc23034"/>
      <w:bookmarkStart w:id="2129" w:name="_Toc30805"/>
      <w:bookmarkStart w:id="2130" w:name="_Toc22398"/>
      <w:bookmarkStart w:id="2131" w:name="_Toc9685"/>
      <w:bookmarkStart w:id="2132" w:name="_Toc1260"/>
      <w:bookmarkStart w:id="2133" w:name="_Toc17044"/>
      <w:bookmarkStart w:id="2134" w:name="_Toc12967"/>
      <w:bookmarkStart w:id="2135" w:name="_Toc22329"/>
      <w:bookmarkStart w:id="2136" w:name="_Toc12623"/>
      <w:bookmarkStart w:id="2137" w:name="_Toc29967"/>
      <w:r>
        <w:rPr>
          <w:rFonts w:hint="eastAsia" w:ascii="仿宋" w:hAnsi="仿宋"/>
          <w:b/>
          <w:color w:val="000000" w:themeColor="text1"/>
          <w:spacing w:val="-7"/>
          <w:sz w:val="32"/>
          <w14:textFill>
            <w14:solidFill>
              <w14:schemeClr w14:val="tx1"/>
            </w14:solidFill>
          </w14:textFill>
        </w:rPr>
        <w:t>9</w:t>
      </w:r>
      <w:r>
        <w:rPr>
          <w:rFonts w:hint="eastAsia" w:ascii="仿宋" w:hAnsi="仿宋" w:eastAsia="仿宋" w:cs="仿宋"/>
          <w:b/>
          <w:sz w:val="32"/>
          <w:szCs w:val="32"/>
        </w:rPr>
        <w:t>.1.5 票据信息查询</w:t>
      </w:r>
      <w:bookmarkEnd w:id="2127"/>
      <w:bookmarkEnd w:id="2128"/>
      <w:bookmarkEnd w:id="2129"/>
      <w:bookmarkEnd w:id="2130"/>
      <w:bookmarkEnd w:id="2131"/>
      <w:bookmarkEnd w:id="2132"/>
      <w:bookmarkEnd w:id="2133"/>
      <w:bookmarkEnd w:id="2134"/>
      <w:bookmarkEnd w:id="2135"/>
      <w:bookmarkEnd w:id="2136"/>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查询人可在业务对账时，通过向票交所发送该查询申请，查询自身及下辖直接参与者持有的及作为质权方的票据信息。</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查询人应为金融机构、非法人产品等票交所的直接参与者。</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1.查询人通过参与者服务机构客户终端，向票交所发起票据信息查询申请。</w:t>
      </w:r>
      <w:r>
        <w:rPr>
          <w:rFonts w:hint="eastAsia" w:ascii="仿宋" w:hAnsi="仿宋" w:eastAsia="仿宋" w:cs="仿宋"/>
          <w:sz w:val="32"/>
          <w:szCs w:val="32"/>
        </w:rPr>
        <w:t>需提供的要素信息包括：</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（1）</w:t>
      </w:r>
      <w:r>
        <w:rPr>
          <w:rFonts w:hint="eastAsia" w:ascii="仿宋" w:hAnsi="仿宋" w:eastAsia="仿宋"/>
          <w:sz w:val="32"/>
          <w:szCs w:val="32"/>
        </w:rPr>
        <w:t>查询人要素信息；</w:t>
      </w:r>
    </w:p>
    <w:p>
      <w:pPr>
        <w:spacing w:line="590" w:lineRule="exact"/>
        <w:ind w:firstLine="640" w:firstLineChars="200"/>
        <w:rPr>
          <w:rFonts w:ascii="仿宋" w:hAnsi="仿宋" w:eastAsia="仿宋" w:cs="仿宋"/>
          <w:sz w:val="32"/>
          <w:szCs w:val="32"/>
        </w:rPr>
      </w:pPr>
      <w:r>
        <w:rPr>
          <w:rFonts w:hint="eastAsia" w:ascii="仿宋" w:hAnsi="仿宋" w:eastAsia="仿宋"/>
          <w:sz w:val="32"/>
          <w:szCs w:val="32"/>
        </w:rPr>
        <w:t>（2）查询人的签章标记、电子签名</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（3）票据（包）号码、子票区间、票据（包）金额、标准金额；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（4）查询种类（“</w:t>
      </w:r>
      <w:r>
        <w:rPr>
          <w:rFonts w:hint="eastAsia" w:ascii="仿宋" w:hAnsi="仿宋" w:eastAsia="仿宋"/>
          <w:sz w:val="32"/>
          <w:szCs w:val="32"/>
          <w:lang w:bidi="ar"/>
        </w:rPr>
        <w:t>持有票据明细查询</w:t>
      </w:r>
      <w:r>
        <w:rPr>
          <w:rFonts w:hint="eastAsia" w:ascii="仿宋" w:hAnsi="仿宋" w:eastAsia="仿宋"/>
          <w:sz w:val="32"/>
          <w:szCs w:val="32"/>
        </w:rPr>
        <w:t>”</w:t>
      </w:r>
      <w:r>
        <w:rPr>
          <w:rFonts w:hint="eastAsia" w:ascii="仿宋" w:hAnsi="仿宋" w:eastAsia="仿宋" w:cs="仿宋"/>
          <w:sz w:val="32"/>
          <w:szCs w:val="32"/>
        </w:rPr>
        <w:t>、“</w:t>
      </w:r>
      <w:r>
        <w:rPr>
          <w:rFonts w:hint="eastAsia" w:ascii="仿宋" w:hAnsi="仿宋" w:eastAsia="仿宋"/>
          <w:sz w:val="32"/>
          <w:szCs w:val="32"/>
          <w:lang w:bidi="ar"/>
        </w:rPr>
        <w:t>质权票据明细查询</w:t>
      </w:r>
      <w:r>
        <w:rPr>
          <w:rFonts w:hint="eastAsia" w:ascii="仿宋" w:hAnsi="仿宋" w:eastAsia="仿宋" w:cs="仿宋"/>
          <w:sz w:val="32"/>
          <w:szCs w:val="32"/>
        </w:rPr>
        <w:t>”）、查询日期；</w:t>
      </w:r>
    </w:p>
    <w:p>
      <w:pPr>
        <w:spacing w:line="590" w:lineRule="exact"/>
        <w:ind w:firstLine="640" w:firstLineChars="200"/>
        <w:rPr>
          <w:rFonts w:ascii="仿宋" w:hAnsi="仿宋" w:eastAsia="仿宋"/>
          <w:sz w:val="32"/>
          <w:szCs w:val="32"/>
        </w:rPr>
      </w:pPr>
      <w:r>
        <w:rPr>
          <w:rFonts w:hint="eastAsia" w:ascii="仿宋" w:hAnsi="仿宋" w:eastAsia="仿宋" w:cs="仿宋"/>
          <w:sz w:val="32"/>
          <w:szCs w:val="32"/>
        </w:rPr>
        <w:t>（5）承接机构与被承接机构的参与者代码（查询人要素信息中的账户开户机构发生承接的）</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2.票交所接收申请信息并校验，判断无误，则向查询人反馈查询结果信息。返回的查询结果信息包括:</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cs="仿宋"/>
          <w:sz w:val="32"/>
          <w:szCs w:val="32"/>
        </w:rPr>
        <w:t>票据（包）号码、子票区间、票据（包）金额、标准金额</w:t>
      </w:r>
      <w:r>
        <w:rPr>
          <w:rFonts w:hint="eastAsia" w:ascii="仿宋" w:hAnsi="仿宋" w:eastAsia="仿宋"/>
          <w:sz w:val="32"/>
          <w:szCs w:val="32"/>
        </w:rPr>
        <w:t>、票据介质、票据种类、票据来源、出票日期、到期日、备注、说明；</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（2）出票人要素信息；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（3）承兑人要素信息；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（4）收款人要素信息；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（5）解付行要素信息；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（6）贴入人要素信息；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（7）付款确认机构要素信息；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（8）持票人要素信息；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（9）库存保管机构要素信息；</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（10）风险票据状态、票据状态、票据流通标识、库存状态（纸票）票据状态信息。</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bCs/>
          <w:sz w:val="32"/>
          <w:szCs w:val="32"/>
        </w:rPr>
      </w:pPr>
      <w:bookmarkStart w:id="2138" w:name="_Toc2974"/>
      <w:bookmarkStart w:id="2139" w:name="_Toc20382"/>
      <w:bookmarkStart w:id="2140" w:name="_Toc23063"/>
      <w:bookmarkStart w:id="2141" w:name="_Toc26222"/>
      <w:bookmarkStart w:id="2142" w:name="_Toc16682"/>
      <w:bookmarkStart w:id="2143" w:name="_Toc597898862"/>
      <w:bookmarkStart w:id="2144" w:name="_Toc32501"/>
      <w:bookmarkStart w:id="2145" w:name="_Toc31504"/>
      <w:bookmarkStart w:id="2146" w:name="_Toc24872"/>
      <w:bookmarkStart w:id="2147" w:name="_Toc27165"/>
      <w:bookmarkStart w:id="2148" w:name="_Toc29094"/>
      <w:bookmarkStart w:id="2149" w:name="_Toc32312"/>
      <w:bookmarkStart w:id="2150" w:name="_Toc31539"/>
      <w:bookmarkStart w:id="2151" w:name="_Toc9340"/>
      <w:bookmarkStart w:id="2152" w:name="_Toc13579"/>
      <w:bookmarkStart w:id="2153" w:name="_Toc6573"/>
      <w:r>
        <w:rPr>
          <w:rFonts w:hint="eastAsia" w:ascii="仿宋" w:hAnsi="仿宋" w:eastAsia="仿宋" w:cs="仿宋"/>
          <w:b/>
          <w:sz w:val="32"/>
        </w:rPr>
        <w:t>9.2 托管账务服务</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pPr>
        <w:widowControl/>
        <w:numPr>
          <w:ilvl w:val="255"/>
          <w:numId w:val="0"/>
        </w:numPr>
        <w:spacing w:line="590" w:lineRule="exact"/>
        <w:ind w:firstLine="643" w:firstLineChars="200"/>
        <w:outlineLvl w:val="2"/>
        <w:rPr>
          <w:rFonts w:ascii="仿宋" w:hAnsi="仿宋" w:eastAsia="仿宋" w:cs="仿宋"/>
          <w:b/>
          <w:sz w:val="32"/>
          <w:szCs w:val="32"/>
        </w:rPr>
      </w:pPr>
      <w:bookmarkStart w:id="2154" w:name="_Toc25198"/>
      <w:bookmarkStart w:id="2155" w:name="_Toc3464"/>
      <w:bookmarkStart w:id="2156" w:name="_Toc7180"/>
      <w:bookmarkStart w:id="2157" w:name="_Toc20886"/>
      <w:bookmarkStart w:id="2158" w:name="_Toc4933"/>
      <w:bookmarkStart w:id="2159" w:name="_Toc27426"/>
      <w:bookmarkStart w:id="2160" w:name="_Toc12571"/>
      <w:bookmarkStart w:id="2161" w:name="_Toc30136"/>
      <w:bookmarkStart w:id="2162" w:name="_Toc22652"/>
      <w:bookmarkStart w:id="2163" w:name="_Toc31000"/>
      <w:bookmarkStart w:id="2164" w:name="_Toc7122"/>
      <w:bookmarkStart w:id="2165" w:name="_Toc18865"/>
      <w:bookmarkStart w:id="2166" w:name="_Toc12220"/>
      <w:bookmarkStart w:id="2167" w:name="_Toc166137524"/>
      <w:bookmarkStart w:id="2168" w:name="_Toc29693"/>
      <w:bookmarkStart w:id="2169" w:name="_Toc29046"/>
      <w:bookmarkStart w:id="2170" w:name="_Toc26637"/>
      <w:r>
        <w:rPr>
          <w:rFonts w:hint="eastAsia" w:ascii="仿宋" w:hAnsi="仿宋" w:eastAsia="仿宋" w:cs="仿宋"/>
          <w:b/>
          <w:sz w:val="32"/>
          <w:szCs w:val="32"/>
        </w:rPr>
        <w:t xml:space="preserve">9.2.1 </w:t>
      </w:r>
      <w:bookmarkEnd w:id="2154"/>
      <w:bookmarkEnd w:id="2155"/>
      <w:bookmarkEnd w:id="2156"/>
      <w:bookmarkEnd w:id="2157"/>
      <w:bookmarkEnd w:id="2158"/>
      <w:bookmarkStart w:id="2171" w:name="_Toc3673"/>
      <w:bookmarkStart w:id="2172" w:name="_Toc3641"/>
      <w:bookmarkStart w:id="2173" w:name="_Toc22847"/>
      <w:bookmarkStart w:id="2174" w:name="_Toc10832"/>
      <w:bookmarkStart w:id="2175" w:name="_Toc15000"/>
      <w:r>
        <w:rPr>
          <w:rFonts w:hint="eastAsia" w:ascii="仿宋" w:hAnsi="仿宋" w:eastAsia="仿宋" w:cs="仿宋"/>
          <w:b/>
          <w:sz w:val="32"/>
          <w:szCs w:val="32"/>
        </w:rPr>
        <w:t>托管记账信息查询</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业务参与者可登录票交所客户端查询和下载辖内机构各类业务场景的记账明细信息和对应票据明细清单，以及账户发生额汇总信息。</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操作员登录票交所客户端，点击“托管记账管理-记账信息查询”菜单，进入记账信息查询主页面，录入查询条件查询下载各类业务场景的记账明细信息。</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sz w:val="32"/>
          <w:szCs w:val="32"/>
        </w:rPr>
      </w:pPr>
      <w:bookmarkStart w:id="2176" w:name="_Toc19235"/>
      <w:bookmarkStart w:id="2177" w:name="_Toc7449"/>
      <w:bookmarkStart w:id="2178" w:name="_Toc9303"/>
      <w:bookmarkStart w:id="2179" w:name="_Toc5119"/>
      <w:bookmarkStart w:id="2180" w:name="_Toc27958"/>
      <w:bookmarkStart w:id="2181" w:name="_Toc14880"/>
      <w:bookmarkStart w:id="2182" w:name="_Toc1088272706"/>
      <w:bookmarkStart w:id="2183" w:name="_Toc15383"/>
      <w:bookmarkStart w:id="2184" w:name="_Toc2873"/>
      <w:bookmarkStart w:id="2185" w:name="_Toc24788"/>
      <w:bookmarkStart w:id="2186" w:name="_Toc18670"/>
      <w:bookmarkStart w:id="2187" w:name="_Toc11308"/>
      <w:bookmarkStart w:id="2188" w:name="_Toc16961"/>
      <w:bookmarkStart w:id="2189" w:name="_Toc10685"/>
      <w:bookmarkStart w:id="2190" w:name="_Toc31116"/>
      <w:bookmarkStart w:id="2191" w:name="_Toc7587"/>
      <w:bookmarkStart w:id="2192" w:name="_Toc31198"/>
      <w:r>
        <w:rPr>
          <w:rFonts w:hint="eastAsia" w:ascii="仿宋" w:hAnsi="仿宋" w:eastAsia="仿宋" w:cs="仿宋"/>
          <w:b/>
          <w:sz w:val="32"/>
          <w:szCs w:val="32"/>
        </w:rPr>
        <w:t>9.2.2 托管余额表查询</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票交所每日日终生成托管余额表，记录托管账户各科目借方发生额、贷方发生额汇总和期末余额信息。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业务参与者可登录票交所客户端查询和下载辖内机构每日托管余额表信息，可与托管库存票据、业务台账进行账务核对。</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操作员登录票交所客户端，点击“托管记账管理-托管余额表查询”菜单，进入查询主页面，录入查询条件查询下载托管余额表信息。</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sz w:val="32"/>
          <w:szCs w:val="32"/>
        </w:rPr>
      </w:pPr>
      <w:bookmarkStart w:id="2193" w:name="_Toc375"/>
      <w:bookmarkStart w:id="2194" w:name="_Toc8040"/>
      <w:bookmarkStart w:id="2195" w:name="_Toc2731"/>
      <w:bookmarkStart w:id="2196" w:name="_Toc22270"/>
      <w:bookmarkStart w:id="2197" w:name="_Toc20474"/>
      <w:bookmarkStart w:id="2198" w:name="_Toc30944"/>
      <w:bookmarkStart w:id="2199" w:name="_Toc30671"/>
      <w:bookmarkStart w:id="2200" w:name="_Toc32689"/>
      <w:bookmarkStart w:id="2201" w:name="_Toc29871"/>
      <w:bookmarkStart w:id="2202" w:name="_Toc22393"/>
      <w:bookmarkStart w:id="2203" w:name="_Toc433"/>
      <w:bookmarkStart w:id="2204" w:name="_Toc24269"/>
      <w:bookmarkStart w:id="2205" w:name="_Toc1734396578"/>
      <w:bookmarkStart w:id="2206" w:name="_Toc31760"/>
      <w:bookmarkStart w:id="2207" w:name="_Toc9276"/>
      <w:bookmarkStart w:id="2208" w:name="_Toc4051"/>
      <w:bookmarkStart w:id="2209" w:name="_Toc29334"/>
      <w:r>
        <w:rPr>
          <w:rFonts w:hint="eastAsia" w:ascii="仿宋" w:hAnsi="仿宋" w:eastAsia="仿宋" w:cs="仿宋"/>
          <w:b/>
          <w:sz w:val="32"/>
          <w:szCs w:val="32"/>
        </w:rPr>
        <w:t>9.2.3 托管单据查询</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业务参与者可登录票交所客户端查询辖内机构各类业务场景对应的托管业务单据，用其作为票据结算账务处理的记账依据。托管业务单据在票据结算成功后自动生成，并与托管记账信息一一对应。</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根据不同业务种类，可查询的托管单据可分为交易类结算单据、非交易类结算单据和清偿注销类单据。票交所客户端提供逐笔和批量下载托管单据方式。</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操作员登录票交所客户端，点击“托管记账管理-托管单据管理”菜单，进入查询主页面，录入查询条件查询下载各类业务场景对应的托管单据。</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sz w:val="32"/>
          <w:szCs w:val="32"/>
        </w:rPr>
      </w:pPr>
      <w:bookmarkStart w:id="2210" w:name="_Toc1014"/>
      <w:bookmarkStart w:id="2211" w:name="_Toc27943"/>
      <w:bookmarkStart w:id="2212" w:name="_Toc23889"/>
      <w:bookmarkStart w:id="2213" w:name="_Toc14777"/>
      <w:bookmarkStart w:id="2214" w:name="_Toc11139"/>
      <w:bookmarkStart w:id="2215" w:name="_Toc1245405163"/>
      <w:bookmarkStart w:id="2216" w:name="_Toc18690"/>
      <w:bookmarkStart w:id="2217" w:name="_Toc14300"/>
      <w:bookmarkStart w:id="2218" w:name="_Toc16965"/>
      <w:bookmarkStart w:id="2219" w:name="_Toc563"/>
      <w:bookmarkStart w:id="2220" w:name="_Toc26855"/>
      <w:bookmarkStart w:id="2221" w:name="_Toc14835"/>
      <w:bookmarkStart w:id="2222" w:name="_Toc4338"/>
      <w:bookmarkStart w:id="2223" w:name="_Toc15472"/>
      <w:bookmarkStart w:id="2224" w:name="_Toc5151"/>
      <w:bookmarkStart w:id="2225" w:name="_Toc16680"/>
      <w:bookmarkStart w:id="2226" w:name="_Toc2287"/>
      <w:r>
        <w:rPr>
          <w:rFonts w:hint="eastAsia" w:ascii="仿宋" w:hAnsi="仿宋" w:eastAsia="仿宋" w:cs="仿宋"/>
          <w:b/>
          <w:sz w:val="32"/>
          <w:szCs w:val="32"/>
        </w:rPr>
        <w:t>9.2.4 托管台账查询</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业务参与者可登录票交所客户端查询和下载辖内机构各类场景业务发生台账信息，并可与托管票据库存、托管余额表进行账务核对。</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按照业务类别，托管台账查询可分为权属登记台账、交易类变更台账、再贴现台账、非交易变更台账、注销登记台账。</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操作员登录票交所客户端，点击“托管记账管理-托管台账管理”菜单，进入查询主页面，录入查询条件查询下载各类业务场景对应的台账信息。</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sz w:val="32"/>
          <w:szCs w:val="32"/>
        </w:rPr>
      </w:pPr>
      <w:bookmarkStart w:id="2227" w:name="_Toc18431"/>
      <w:bookmarkStart w:id="2228" w:name="_Toc26119"/>
      <w:bookmarkStart w:id="2229" w:name="_Toc878"/>
      <w:bookmarkStart w:id="2230" w:name="_Toc4236"/>
      <w:bookmarkStart w:id="2231" w:name="_Toc2466"/>
      <w:bookmarkStart w:id="2232" w:name="_Toc17769"/>
      <w:bookmarkStart w:id="2233" w:name="_Toc17651"/>
      <w:bookmarkStart w:id="2234" w:name="_Toc23907"/>
      <w:bookmarkStart w:id="2235" w:name="_Toc614680610"/>
      <w:bookmarkStart w:id="2236" w:name="_Toc11897"/>
      <w:bookmarkStart w:id="2237" w:name="_Toc23534"/>
      <w:bookmarkStart w:id="2238" w:name="_Toc29160"/>
      <w:bookmarkStart w:id="2239" w:name="_Toc24281"/>
      <w:bookmarkStart w:id="2240" w:name="_Toc25215"/>
      <w:bookmarkStart w:id="2241" w:name="_Toc22538"/>
      <w:bookmarkStart w:id="2242" w:name="_Toc29651"/>
      <w:bookmarkStart w:id="2243" w:name="_Toc3456"/>
      <w:r>
        <w:rPr>
          <w:rFonts w:hint="eastAsia" w:ascii="仿宋" w:hAnsi="仿宋" w:eastAsia="仿宋" w:cs="仿宋"/>
          <w:b/>
          <w:sz w:val="32"/>
          <w:szCs w:val="32"/>
        </w:rPr>
        <w:t>9.2.5 托管库存查询</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业务参与者可登录票交所客户端查询和下载辖内机构库存托管票据和质押期间质权票据信息，并可与托管账户余额表进行账务核对。</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根据业务类别，托管库存查询可分为托管库存票据查询、质押票据查询、质押式回购票据查询、买断式回购查询以及单张票据信息查询。 </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操作员登录票交所客户端，点击“托管记账管理-托管库存管理”菜单，进入查询主页面，录入查询条件查询下载各类业务场景对应的库存信息。</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b/>
          <w:sz w:val="32"/>
          <w:szCs w:val="32"/>
        </w:rPr>
      </w:pPr>
      <w:bookmarkStart w:id="2244" w:name="_Toc15919"/>
      <w:bookmarkStart w:id="2245" w:name="_Toc28184"/>
      <w:bookmarkStart w:id="2246" w:name="_Toc1547252268"/>
      <w:bookmarkStart w:id="2247" w:name="_Toc16477"/>
      <w:bookmarkStart w:id="2248" w:name="_Toc3205"/>
      <w:bookmarkStart w:id="2249" w:name="_Toc5091"/>
      <w:bookmarkStart w:id="2250" w:name="_Toc6652"/>
      <w:bookmarkStart w:id="2251" w:name="_Toc14336"/>
      <w:bookmarkStart w:id="2252" w:name="_Toc30184"/>
      <w:bookmarkStart w:id="2253" w:name="_Toc13947"/>
      <w:bookmarkStart w:id="2254" w:name="_Toc4637"/>
      <w:bookmarkStart w:id="2255" w:name="_Toc15645"/>
      <w:bookmarkStart w:id="2256" w:name="_Toc26950"/>
      <w:bookmarkStart w:id="2257" w:name="_Toc9829"/>
      <w:bookmarkStart w:id="2258" w:name="_Toc11041"/>
      <w:bookmarkStart w:id="2259" w:name="_Toc21799"/>
      <w:bookmarkStart w:id="2260" w:name="_Toc29943"/>
      <w:r>
        <w:rPr>
          <w:rFonts w:hint="eastAsia" w:ascii="仿宋" w:hAnsi="仿宋" w:eastAsia="仿宋" w:cs="仿宋"/>
          <w:b/>
          <w:sz w:val="32"/>
          <w:szCs w:val="32"/>
        </w:rPr>
        <w:t>9.2.6 托管对账查询</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业务参与者可登录票交所客户端查询和下载辖内机构托管账户余额的对账信息。</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操作员登录票交所客户端，点击“托管记账管理-托管对账管理”菜单，进入查询主页面，录入查询条件查询下载托管账户和质权账户各科目余额的对账信息。</w:t>
      </w:r>
    </w:p>
    <w:p>
      <w:pPr>
        <w:spacing w:line="590" w:lineRule="exact"/>
        <w:ind w:firstLine="640" w:firstLineChars="200"/>
        <w:rPr>
          <w:rFonts w:ascii="仿宋" w:hAnsi="仿宋" w:eastAsia="仿宋" w:cs="仿宋"/>
          <w:sz w:val="32"/>
          <w:szCs w:val="32"/>
        </w:rPr>
      </w:pPr>
    </w:p>
    <w:p>
      <w:pPr>
        <w:numPr>
          <w:ilvl w:val="255"/>
          <w:numId w:val="0"/>
        </w:numPr>
        <w:tabs>
          <w:tab w:val="left" w:pos="2696"/>
        </w:tabs>
        <w:spacing w:line="590" w:lineRule="exact"/>
        <w:ind w:firstLine="643" w:firstLineChars="200"/>
        <w:outlineLvl w:val="2"/>
        <w:rPr>
          <w:rFonts w:ascii="仿宋" w:hAnsi="仿宋" w:eastAsia="仿宋" w:cs="仿宋"/>
          <w:b/>
          <w:bCs/>
          <w:color w:val="000000"/>
          <w:sz w:val="32"/>
          <w:szCs w:val="32"/>
        </w:rPr>
      </w:pPr>
      <w:bookmarkStart w:id="2261" w:name="_Toc8980"/>
      <w:bookmarkStart w:id="2262" w:name="_Toc30906"/>
      <w:bookmarkStart w:id="2263" w:name="_Toc29800"/>
      <w:bookmarkStart w:id="2264" w:name="_Toc6167"/>
      <w:bookmarkStart w:id="2265" w:name="_Toc5140"/>
      <w:bookmarkStart w:id="2266" w:name="_Toc436713890"/>
      <w:bookmarkStart w:id="2267" w:name="_Toc10335"/>
      <w:bookmarkStart w:id="2268" w:name="_Toc32067"/>
      <w:bookmarkStart w:id="2269" w:name="_Toc29217"/>
      <w:bookmarkStart w:id="2270" w:name="_Toc22550"/>
      <w:bookmarkStart w:id="2271" w:name="_Toc22963"/>
      <w:bookmarkStart w:id="2272" w:name="_Toc22672"/>
      <w:bookmarkStart w:id="2273" w:name="_Toc25129"/>
      <w:bookmarkStart w:id="2274" w:name="_Toc15402"/>
      <w:bookmarkStart w:id="2275" w:name="_Toc20400"/>
      <w:bookmarkStart w:id="2276" w:name="_Toc15816"/>
      <w:bookmarkStart w:id="2277" w:name="_Toc28079"/>
      <w:r>
        <w:rPr>
          <w:rFonts w:hint="eastAsia" w:ascii="仿宋" w:hAnsi="仿宋" w:eastAsia="仿宋" w:cs="仿宋"/>
          <w:b/>
          <w:bCs/>
          <w:color w:val="000000"/>
          <w:sz w:val="32"/>
          <w:szCs w:val="32"/>
        </w:rPr>
        <w:t>9.2.7 托管对账处理</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使用票据业务系统直连接口接入票交所的金融机构、非法人产品等直接参与者：</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票交所每日日终生成“每日托管账户（机构参与者）余额对账文件”，用于与金融机构、非法人产品等直接参与者核对其承兑、持有或受质的托管票据余额。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票交所每月月末批量生成“月末托管票据（机构参与者）明细对账文件”，用于与金融机构、非法人产品等直接参与者核对其承兑、持有或受质的票据明细。</w:t>
      </w:r>
    </w:p>
    <w:bookmarkEnd w:id="2274"/>
    <w:bookmarkEnd w:id="2275"/>
    <w:bookmarkEnd w:id="2276"/>
    <w:bookmarkEnd w:id="2277"/>
    <w:p>
      <w:pPr>
        <w:spacing w:line="59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业务参与者如认为票交所业务处理及账务记录有差错，应在知道或应当知道差错发生之日起五个工作日内以书面方式通知票交所。在通知中应说明怀疑发生错误的</w:t>
      </w:r>
      <w:r>
        <w:rPr>
          <w:rFonts w:hint="eastAsia" w:ascii="仿宋" w:hAnsi="仿宋" w:eastAsia="仿宋" w:cs="仿宋"/>
          <w:sz w:val="32"/>
          <w:szCs w:val="32"/>
          <w:lang w:eastAsia="zh-CN"/>
        </w:rPr>
        <w:t>原因</w:t>
      </w:r>
      <w:r>
        <w:rPr>
          <w:rFonts w:hint="eastAsia" w:ascii="仿宋" w:hAnsi="仿宋" w:eastAsia="仿宋" w:cs="仿宋"/>
          <w:sz w:val="32"/>
          <w:szCs w:val="32"/>
        </w:rPr>
        <w:t>、有关的账号、票据号码、金额、到期日等详细情况。</w:t>
      </w:r>
    </w:p>
    <w:p>
      <w:pPr>
        <w:spacing w:line="590" w:lineRule="exact"/>
        <w:ind w:firstLine="640" w:firstLineChars="200"/>
        <w:rPr>
          <w:rFonts w:hint="eastAsia" w:ascii="仿宋" w:hAnsi="仿宋" w:eastAsia="仿宋" w:cs="仿宋"/>
          <w:sz w:val="32"/>
          <w:szCs w:val="32"/>
        </w:rPr>
      </w:pPr>
    </w:p>
    <w:p>
      <w:pPr>
        <w:numPr>
          <w:ilvl w:val="255"/>
          <w:numId w:val="0"/>
        </w:numPr>
        <w:spacing w:line="590" w:lineRule="exact"/>
        <w:ind w:firstLine="643" w:firstLineChars="200"/>
        <w:outlineLvl w:val="1"/>
        <w:rPr>
          <w:rFonts w:ascii="仿宋" w:hAnsi="仿宋" w:eastAsia="仿宋" w:cs="仿宋"/>
          <w:b/>
          <w:bCs/>
          <w:sz w:val="32"/>
          <w:szCs w:val="32"/>
          <w:lang w:bidi="ar"/>
        </w:rPr>
      </w:pPr>
      <w:bookmarkStart w:id="2278" w:name="_Toc19405"/>
      <w:bookmarkStart w:id="2279" w:name="_Toc25078"/>
      <w:bookmarkStart w:id="2280" w:name="_Toc29218"/>
      <w:bookmarkStart w:id="2281" w:name="_Toc3195"/>
      <w:bookmarkStart w:id="2282" w:name="_Toc13056"/>
      <w:bookmarkStart w:id="2283" w:name="_Toc23955"/>
      <w:bookmarkStart w:id="2284" w:name="_Toc20360"/>
      <w:bookmarkStart w:id="2285" w:name="_Toc18674"/>
      <w:bookmarkStart w:id="2286" w:name="_Toc26824"/>
      <w:bookmarkStart w:id="2287" w:name="_Toc29115"/>
      <w:bookmarkStart w:id="2288" w:name="_Toc11471"/>
      <w:bookmarkStart w:id="2289" w:name="_Toc1917056719"/>
      <w:bookmarkStart w:id="2290" w:name="_Toc18901"/>
      <w:bookmarkStart w:id="2291" w:name="_Toc27851"/>
      <w:bookmarkStart w:id="2292" w:name="_Toc8764"/>
      <w:bookmarkStart w:id="2293" w:name="_Toc15014"/>
      <w:bookmarkStart w:id="2294" w:name="_Toc1949"/>
      <w:r>
        <w:rPr>
          <w:rFonts w:hint="eastAsia" w:ascii="仿宋" w:hAnsi="仿宋" w:eastAsia="仿宋" w:cs="仿宋"/>
          <w:b/>
          <w:color w:val="000000"/>
          <w:sz w:val="32"/>
        </w:rPr>
        <w:t>9</w:t>
      </w:r>
      <w:r>
        <w:rPr>
          <w:rFonts w:hint="eastAsia" w:ascii="仿宋" w:hAnsi="仿宋" w:eastAsia="仿宋" w:cs="仿宋"/>
          <w:b/>
          <w:sz w:val="32"/>
        </w:rPr>
        <w:t>.3</w:t>
      </w:r>
      <w:r>
        <w:rPr>
          <w:rFonts w:ascii="仿宋" w:hAnsi="仿宋" w:eastAsia="仿宋" w:cs="仿宋"/>
          <w:b/>
          <w:bCs/>
          <w:sz w:val="32"/>
          <w:szCs w:val="32"/>
          <w:lang w:bidi="ar"/>
        </w:rPr>
        <w:t xml:space="preserve"> </w:t>
      </w:r>
      <w:r>
        <w:rPr>
          <w:rFonts w:hint="eastAsia" w:ascii="仿宋" w:hAnsi="仿宋" w:eastAsia="仿宋" w:cs="仿宋"/>
          <w:b/>
          <w:sz w:val="32"/>
        </w:rPr>
        <w:t>账户函证及查询服务</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1.会计师事务所可按照相关审计准则要求对被审计单位开立在票交所的票据托管账户余额、会员资金账户余额实施函证。</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2.直接参与者可按照内部审计要求对其开立在票交所的票据托管账户余额、会员资金账户余额申请查询。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其他规则参照《上海票据交易所关于账户函证及查询业务有关事项的通知》（票交所发</w:t>
      </w:r>
      <w:r>
        <w:rPr>
          <w:rFonts w:hint="eastAsia" w:ascii="仿宋" w:hAnsi="仿宋" w:eastAsia="仿宋" w:cs="仿宋"/>
          <w:sz w:val="32"/>
          <w:szCs w:val="32"/>
          <w:lang w:bidi="ar"/>
        </w:rPr>
        <w:t>〔2021〕</w:t>
      </w:r>
      <w:r>
        <w:rPr>
          <w:rFonts w:hint="eastAsia" w:ascii="仿宋" w:hAnsi="仿宋" w:eastAsia="仿宋" w:cs="仿宋"/>
          <w:sz w:val="32"/>
          <w:szCs w:val="32"/>
        </w:rPr>
        <w:t>26号）。</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[申请材料]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《上海票据交易所股份有限公司直接参与者账户函证及查询申请表》（</w:t>
      </w:r>
      <w:r>
        <w:rPr>
          <w:rFonts w:hint="eastAsia" w:ascii="仿宋" w:hAnsi="仿宋" w:eastAsia="仿宋" w:cs="仿宋"/>
          <w:sz w:val="32"/>
          <w:szCs w:val="32"/>
          <w:lang w:eastAsia="zh-CN"/>
        </w:rPr>
        <w:t>附件18</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会计师事务所提交的申请表需加盖被审计单位公章和会计师事务所函证章；金融机构、非法人产品等直接参与者提交的申请表需加盖金融机构公章（非法人产品加盖产品管理人公章）。</w:t>
      </w:r>
    </w:p>
    <w:p>
      <w:pPr>
        <w:spacing w:line="590" w:lineRule="exact"/>
        <w:ind w:firstLine="643" w:firstLineChars="200"/>
        <w:rPr>
          <w:rFonts w:ascii="仿宋" w:hAnsi="仿宋" w:eastAsia="仿宋" w:cs="仿宋"/>
          <w:sz w:val="32"/>
          <w:szCs w:val="32"/>
        </w:rPr>
      </w:pPr>
      <w:r>
        <w:rPr>
          <w:rFonts w:hint="eastAsia" w:ascii="仿宋" w:hAnsi="仿宋" w:eastAsia="仿宋" w:cs="仿宋"/>
          <w:b/>
          <w:bCs/>
          <w:sz w:val="32"/>
          <w:szCs w:val="32"/>
        </w:rPr>
        <w:t>[办理流程]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1.会计师事务所、金融机构及非法人产品因审计需要实施函证的，填写《上海票据交易所股份有限公司直接参与者账户函证及查询申请表》并邮寄至票交所。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上海票据交易所：上海市黄浦区半淞园路377号A区，上海票据交易所，021-23139999。</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2.票交所收到申请材料后，审核无误的，票交所将向申请机构反馈《上海票据交易所票据托管余额汇总表》。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3.申请材料缺失或不准确的，票交所将通过电话或邮件的形式向申请机构反馈原因。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4.金融机构、非法人产品等直接参与者还可通过票交所客户端自行查询并下载查询结果单据。</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bCs/>
          <w:sz w:val="32"/>
          <w:szCs w:val="32"/>
        </w:rPr>
      </w:pPr>
      <w:bookmarkStart w:id="2295" w:name="_Toc27862"/>
      <w:bookmarkStart w:id="2296" w:name="_Toc32323"/>
      <w:bookmarkStart w:id="2297" w:name="_Toc27269"/>
      <w:bookmarkStart w:id="2298" w:name="_Toc15813"/>
      <w:bookmarkStart w:id="2299" w:name="_Toc28390"/>
      <w:bookmarkStart w:id="2300" w:name="_Toc560107916"/>
      <w:bookmarkStart w:id="2301" w:name="_Toc15912"/>
      <w:bookmarkStart w:id="2302" w:name="_Toc662"/>
      <w:bookmarkStart w:id="2303" w:name="_Toc20119"/>
      <w:bookmarkStart w:id="2304" w:name="_Toc16915"/>
      <w:bookmarkStart w:id="2305" w:name="_Toc20640"/>
      <w:bookmarkStart w:id="2306" w:name="_Toc8921"/>
      <w:bookmarkStart w:id="2307" w:name="_Toc29093"/>
      <w:bookmarkStart w:id="2308" w:name="_Toc15427"/>
      <w:bookmarkStart w:id="2309" w:name="_Toc7727"/>
      <w:bookmarkStart w:id="2310" w:name="_Toc19726"/>
      <w:bookmarkStart w:id="2311" w:name="_Toc9666"/>
      <w:r>
        <w:rPr>
          <w:rFonts w:hint="eastAsia" w:ascii="仿宋" w:hAnsi="仿宋" w:eastAsia="仿宋" w:cs="仿宋"/>
          <w:b/>
          <w:bCs/>
          <w:sz w:val="32"/>
          <w:szCs w:val="32"/>
        </w:rPr>
        <w:t xml:space="preserve">9.4 </w:t>
      </w:r>
      <w:bookmarkEnd w:id="2295"/>
      <w:bookmarkEnd w:id="2296"/>
      <w:bookmarkEnd w:id="2297"/>
      <w:bookmarkEnd w:id="2298"/>
      <w:bookmarkEnd w:id="2299"/>
      <w:bookmarkStart w:id="2312" w:name="_Toc17155"/>
      <w:bookmarkStart w:id="2313" w:name="_Toc28349"/>
      <w:bookmarkStart w:id="2314" w:name="_Toc29872"/>
      <w:bookmarkStart w:id="2315" w:name="_Toc9169"/>
      <w:bookmarkStart w:id="2316" w:name="_Toc5616"/>
      <w:r>
        <w:rPr>
          <w:rFonts w:hint="eastAsia" w:ascii="仿宋" w:hAnsi="仿宋" w:eastAsia="仿宋" w:cs="仿宋"/>
          <w:b/>
          <w:bCs/>
          <w:sz w:val="32"/>
          <w:szCs w:val="32"/>
        </w:rPr>
        <w:t>伪假电票处置</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[业务概述]</w:t>
      </w:r>
    </w:p>
    <w:p>
      <w:pPr>
        <w:spacing w:line="590" w:lineRule="exact"/>
        <w:ind w:firstLine="640" w:firstLineChars="200"/>
        <w:rPr>
          <w:rFonts w:ascii="仿宋" w:hAnsi="仿宋" w:eastAsia="仿宋"/>
          <w:bCs/>
          <w:sz w:val="32"/>
          <w:szCs w:val="32"/>
        </w:rPr>
      </w:pPr>
      <w:r>
        <w:rPr>
          <w:rFonts w:hint="eastAsia" w:ascii="仿宋" w:hAnsi="仿宋" w:eastAsia="仿宋"/>
          <w:bCs/>
          <w:sz w:val="32"/>
          <w:szCs w:val="32"/>
        </w:rPr>
        <w:t>发现伪假电票后，</w:t>
      </w:r>
      <w:r>
        <w:rPr>
          <w:rFonts w:ascii="仿宋" w:hAnsi="仿宋" w:eastAsia="仿宋"/>
          <w:sz w:val="32"/>
          <w:szCs w:val="32"/>
        </w:rPr>
        <w:t>涉假票据当事人</w:t>
      </w:r>
      <w:r>
        <w:rPr>
          <w:rFonts w:hint="eastAsia" w:ascii="仿宋" w:hAnsi="仿宋" w:eastAsia="仿宋"/>
          <w:sz w:val="32"/>
          <w:szCs w:val="32"/>
        </w:rPr>
        <w:t>的参与者服务机构进行风险处置。</w:t>
      </w:r>
    </w:p>
    <w:p>
      <w:pPr>
        <w:spacing w:line="590" w:lineRule="exact"/>
        <w:ind w:firstLine="643" w:firstLineChars="200"/>
        <w:rPr>
          <w:rFonts w:ascii="仿宋" w:hAnsi="仿宋" w:eastAsia="仿宋"/>
          <w:sz w:val="32"/>
          <w:szCs w:val="32"/>
        </w:rPr>
      </w:pPr>
      <w:r>
        <w:rPr>
          <w:rFonts w:hint="eastAsia" w:ascii="仿宋" w:hAnsi="仿宋" w:eastAsia="仿宋"/>
          <w:b/>
          <w:bCs/>
          <w:sz w:val="32"/>
          <w:szCs w:val="32"/>
        </w:rPr>
        <w:t>[业务规则]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出现以下类型之一的可以认定为伪假票据：</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1.票据当事人名称恶意记载为其他单位名称的电票；</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2.冒用其他单位身份开立账户并通过该账户作出票据行为的电票；</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3.经有权机关认定的其他伪假电票。</w:t>
      </w:r>
    </w:p>
    <w:p>
      <w:pPr>
        <w:spacing w:line="590" w:lineRule="exact"/>
        <w:ind w:firstLine="643" w:firstLineChars="200"/>
        <w:rPr>
          <w:rFonts w:ascii="仿宋" w:hAnsi="仿宋" w:eastAsia="仿宋"/>
          <w:b/>
          <w:bCs/>
          <w:sz w:val="32"/>
          <w:szCs w:val="32"/>
        </w:rPr>
      </w:pPr>
      <w:r>
        <w:rPr>
          <w:rFonts w:hint="eastAsia" w:ascii="仿宋" w:hAnsi="仿宋" w:eastAsia="仿宋"/>
          <w:b/>
          <w:bCs/>
          <w:sz w:val="32"/>
          <w:szCs w:val="32"/>
        </w:rPr>
        <w:t>[业务流程]</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涉假票据当事人</w:t>
      </w:r>
      <w:r>
        <w:rPr>
          <w:rFonts w:hint="eastAsia" w:ascii="仿宋" w:hAnsi="仿宋" w:eastAsia="仿宋"/>
          <w:sz w:val="32"/>
          <w:szCs w:val="32"/>
        </w:rPr>
        <w:t>的参与者服务机构</w:t>
      </w:r>
      <w:r>
        <w:rPr>
          <w:rFonts w:ascii="仿宋" w:hAnsi="仿宋" w:eastAsia="仿宋"/>
          <w:sz w:val="32"/>
          <w:szCs w:val="32"/>
        </w:rPr>
        <w:t>应当在发现伪假</w:t>
      </w:r>
      <w:r>
        <w:rPr>
          <w:rFonts w:hint="eastAsia" w:ascii="仿宋" w:hAnsi="仿宋" w:eastAsia="仿宋"/>
          <w:sz w:val="32"/>
          <w:szCs w:val="32"/>
        </w:rPr>
        <w:t>电票</w:t>
      </w:r>
      <w:r>
        <w:rPr>
          <w:rFonts w:ascii="仿宋" w:hAnsi="仿宋" w:eastAsia="仿宋"/>
          <w:sz w:val="32"/>
          <w:szCs w:val="32"/>
        </w:rPr>
        <w:t>后的24小时内报告</w:t>
      </w:r>
      <w:r>
        <w:rPr>
          <w:rFonts w:hint="eastAsia" w:ascii="仿宋" w:hAnsi="仿宋" w:eastAsia="仿宋"/>
          <w:sz w:val="32"/>
          <w:szCs w:val="32"/>
        </w:rPr>
        <w:t>票交所；</w:t>
      </w:r>
      <w:r>
        <w:rPr>
          <w:rFonts w:ascii="仿宋" w:hAnsi="仿宋" w:eastAsia="仿宋"/>
          <w:sz w:val="32"/>
          <w:szCs w:val="32"/>
        </w:rPr>
        <w:t>其他票据当事人发现伪假</w:t>
      </w:r>
      <w:r>
        <w:rPr>
          <w:rFonts w:hint="eastAsia" w:ascii="仿宋" w:hAnsi="仿宋" w:eastAsia="仿宋"/>
          <w:sz w:val="32"/>
          <w:szCs w:val="32"/>
        </w:rPr>
        <w:t>电票</w:t>
      </w:r>
      <w:r>
        <w:rPr>
          <w:rFonts w:ascii="仿宋" w:hAnsi="仿宋" w:eastAsia="仿宋"/>
          <w:sz w:val="32"/>
          <w:szCs w:val="32"/>
        </w:rPr>
        <w:t>后，应当通过其</w:t>
      </w:r>
      <w:r>
        <w:rPr>
          <w:rFonts w:hint="eastAsia" w:ascii="仿宋" w:hAnsi="仿宋" w:eastAsia="仿宋"/>
          <w:sz w:val="32"/>
          <w:szCs w:val="32"/>
        </w:rPr>
        <w:t>参与者服务机构</w:t>
      </w:r>
      <w:r>
        <w:rPr>
          <w:rFonts w:ascii="仿宋" w:hAnsi="仿宋" w:eastAsia="仿宋"/>
          <w:sz w:val="32"/>
          <w:szCs w:val="32"/>
        </w:rPr>
        <w:t>及时通知涉假票据当事人</w:t>
      </w:r>
      <w:r>
        <w:rPr>
          <w:rFonts w:hint="eastAsia" w:ascii="仿宋" w:hAnsi="仿宋" w:eastAsia="仿宋"/>
          <w:sz w:val="32"/>
          <w:szCs w:val="32"/>
        </w:rPr>
        <w:t>的参与者服务机构</w:t>
      </w:r>
      <w:r>
        <w:rPr>
          <w:rFonts w:ascii="仿宋" w:hAnsi="仿宋" w:eastAsia="仿宋"/>
          <w:sz w:val="32"/>
          <w:szCs w:val="32"/>
        </w:rPr>
        <w:t>并报告</w:t>
      </w:r>
      <w:r>
        <w:rPr>
          <w:rFonts w:hint="eastAsia" w:ascii="仿宋" w:hAnsi="仿宋" w:eastAsia="仿宋"/>
          <w:sz w:val="32"/>
          <w:szCs w:val="32"/>
        </w:rPr>
        <w:t>票交所</w:t>
      </w:r>
      <w:r>
        <w:rPr>
          <w:rFonts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2.涉假票据当事人及其参与者服务机构应当立即对伪假电票采取措施防止风险进一步蔓延，同时可以向票交所申请进行票据锁定。</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3.申请票据锁定的，应当由涉假票据当事人的参与者服务机构法人向票交所提交以下材料：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（1）加盖公章或预留印鉴章的《伪假票据应急服务申请书》（</w:t>
      </w:r>
      <w:r>
        <w:rPr>
          <w:rFonts w:hint="eastAsia" w:ascii="仿宋" w:hAnsi="仿宋" w:eastAsia="仿宋"/>
          <w:sz w:val="32"/>
          <w:szCs w:val="32"/>
          <w:lang w:eastAsia="zh-CN"/>
        </w:rPr>
        <w:t>附件19</w:t>
      </w:r>
      <w:r>
        <w:rPr>
          <w:rFonts w:hint="eastAsia" w:ascii="仿宋" w:hAnsi="仿宋" w:eastAsia="仿宋"/>
          <w:sz w:val="32"/>
          <w:szCs w:val="32"/>
        </w:rPr>
        <w:t>），并在其中明确说明票据被认定为伪假的情况；</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（2）相关证明材料（如报案记录、被冒用企业出具的说明或公开渠道发布的公告等）；</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（3）拟申请锁定的票据清单；</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（4）票交所要求的其他材料。</w:t>
      </w:r>
    </w:p>
    <w:p>
      <w:pPr>
        <w:spacing w:line="590" w:lineRule="exact"/>
        <w:ind w:firstLine="640" w:firstLineChars="200"/>
        <w:rPr>
          <w:rFonts w:ascii="仿宋" w:hAnsi="仿宋" w:eastAsia="仿宋"/>
          <w:sz w:val="32"/>
          <w:szCs w:val="32"/>
        </w:rPr>
      </w:pPr>
      <w:r>
        <w:rPr>
          <w:rFonts w:ascii="仿宋" w:hAnsi="仿宋" w:eastAsia="仿宋"/>
          <w:sz w:val="32"/>
          <w:szCs w:val="32"/>
        </w:rPr>
        <w:t>4.票据当事人拟办理票据撤回</w:t>
      </w:r>
      <w:r>
        <w:rPr>
          <w:rFonts w:hint="eastAsia" w:ascii="仿宋" w:hAnsi="仿宋" w:eastAsia="仿宋"/>
          <w:sz w:val="32"/>
          <w:szCs w:val="32"/>
        </w:rPr>
        <w:t>、</w:t>
      </w:r>
      <w:r>
        <w:rPr>
          <w:rFonts w:ascii="仿宋" w:hAnsi="仿宋" w:eastAsia="仿宋"/>
          <w:sz w:val="32"/>
          <w:szCs w:val="32"/>
        </w:rPr>
        <w:t>结清</w:t>
      </w:r>
      <w:r>
        <w:rPr>
          <w:rFonts w:hint="eastAsia" w:ascii="仿宋" w:hAnsi="仿宋" w:eastAsia="仿宋"/>
          <w:sz w:val="32"/>
          <w:szCs w:val="32"/>
        </w:rPr>
        <w:t>，或</w:t>
      </w:r>
      <w:r>
        <w:rPr>
          <w:rFonts w:ascii="仿宋" w:hAnsi="仿宋" w:eastAsia="仿宋"/>
          <w:sz w:val="32"/>
          <w:szCs w:val="32"/>
        </w:rPr>
        <w:t>持票人对票据锁定有异议且经原申请锁定机构确认为非伪假</w:t>
      </w:r>
      <w:r>
        <w:rPr>
          <w:rFonts w:hint="eastAsia" w:ascii="仿宋" w:hAnsi="仿宋" w:eastAsia="仿宋"/>
          <w:sz w:val="32"/>
          <w:szCs w:val="32"/>
        </w:rPr>
        <w:t>电票的</w:t>
      </w:r>
      <w:r>
        <w:rPr>
          <w:rFonts w:ascii="仿宋" w:hAnsi="仿宋" w:eastAsia="仿宋"/>
          <w:sz w:val="32"/>
          <w:szCs w:val="32"/>
        </w:rPr>
        <w:t>，可以对锁定票据申请解锁</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申请票据解锁的，应当由原申请锁定机构向</w:t>
      </w:r>
      <w:r>
        <w:rPr>
          <w:rFonts w:hint="eastAsia" w:ascii="仿宋" w:hAnsi="仿宋" w:eastAsia="仿宋"/>
          <w:sz w:val="32"/>
          <w:szCs w:val="32"/>
        </w:rPr>
        <w:t>票交所</w:t>
      </w:r>
      <w:r>
        <w:rPr>
          <w:rFonts w:ascii="仿宋" w:hAnsi="仿宋" w:eastAsia="仿宋"/>
          <w:sz w:val="32"/>
          <w:szCs w:val="32"/>
        </w:rPr>
        <w:t>提交以下材料：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加盖公章或预留印鉴章的《</w:t>
      </w:r>
      <w:r>
        <w:rPr>
          <w:rFonts w:hint="eastAsia" w:ascii="仿宋" w:hAnsi="仿宋" w:eastAsia="仿宋"/>
          <w:sz w:val="32"/>
          <w:szCs w:val="32"/>
        </w:rPr>
        <w:t>伪假票据应急服务申请书</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sz w:val="32"/>
          <w:szCs w:val="32"/>
          <w:lang w:eastAsia="zh-CN"/>
        </w:rPr>
        <w:t>附件19</w:t>
      </w:r>
      <w:r>
        <w:rPr>
          <w:rFonts w:hint="eastAsia" w:ascii="仿宋" w:hAnsi="仿宋" w:eastAsia="仿宋"/>
          <w:sz w:val="32"/>
          <w:szCs w:val="32"/>
        </w:rPr>
        <w:t>）</w:t>
      </w:r>
      <w:r>
        <w:rPr>
          <w:rFonts w:ascii="仿宋" w:hAnsi="仿宋" w:eastAsia="仿宋"/>
          <w:sz w:val="32"/>
          <w:szCs w:val="32"/>
        </w:rPr>
        <w:t>，</w:t>
      </w:r>
      <w:r>
        <w:rPr>
          <w:rFonts w:hint="eastAsia" w:ascii="仿宋" w:hAnsi="仿宋" w:eastAsia="仿宋"/>
          <w:sz w:val="32"/>
          <w:szCs w:val="32"/>
        </w:rPr>
        <w:t>并在其</w:t>
      </w:r>
      <w:r>
        <w:rPr>
          <w:rFonts w:ascii="仿宋" w:hAnsi="仿宋" w:eastAsia="仿宋"/>
          <w:sz w:val="32"/>
          <w:szCs w:val="32"/>
        </w:rPr>
        <w:t>中明确解锁理由；</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相关锁定票据已解除风险的证明材料；</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拟申请解锁的票据清单；</w:t>
      </w:r>
    </w:p>
    <w:p>
      <w:pPr>
        <w:spacing w:line="590" w:lineRule="exact"/>
        <w:ind w:firstLine="640" w:firstLineChars="200"/>
        <w:rPr>
          <w:rFonts w:ascii="仿宋" w:hAnsi="仿宋" w:eastAsia="仿宋"/>
          <w:sz w:val="32"/>
          <w:szCs w:val="32"/>
        </w:rPr>
      </w:pPr>
      <w:r>
        <w:rPr>
          <w:rFonts w:hint="eastAsia" w:ascii="仿宋" w:hAnsi="仿宋" w:eastAsia="仿宋"/>
          <w:sz w:val="32"/>
          <w:szCs w:val="32"/>
        </w:rPr>
        <w:t>（4）票交所</w:t>
      </w:r>
      <w:r>
        <w:rPr>
          <w:rFonts w:ascii="仿宋" w:hAnsi="仿宋" w:eastAsia="仿宋"/>
          <w:sz w:val="32"/>
          <w:szCs w:val="32"/>
        </w:rPr>
        <w:t>要求的其他材料</w:t>
      </w:r>
      <w:r>
        <w:rPr>
          <w:rFonts w:hint="eastAsia" w:ascii="仿宋" w:hAnsi="仿宋" w:eastAsia="仿宋"/>
          <w:sz w:val="32"/>
          <w:szCs w:val="32"/>
        </w:rPr>
        <w:t>。</w:t>
      </w:r>
    </w:p>
    <w:p>
      <w:pPr>
        <w:spacing w:line="590" w:lineRule="exact"/>
        <w:ind w:firstLine="640" w:firstLineChars="200"/>
        <w:rPr>
          <w:rFonts w:ascii="仿宋" w:hAnsi="仿宋" w:eastAsia="仿宋"/>
          <w:sz w:val="32"/>
          <w:szCs w:val="32"/>
        </w:rPr>
      </w:pPr>
    </w:p>
    <w:p>
      <w:pPr>
        <w:spacing w:line="590" w:lineRule="exact"/>
        <w:ind w:firstLine="643" w:firstLineChars="200"/>
        <w:outlineLvl w:val="1"/>
        <w:rPr>
          <w:rFonts w:ascii="仿宋" w:hAnsi="仿宋" w:eastAsia="仿宋" w:cs="仿宋"/>
          <w:b/>
          <w:sz w:val="32"/>
          <w:szCs w:val="32"/>
        </w:rPr>
      </w:pPr>
      <w:bookmarkStart w:id="2317" w:name="_Toc11584"/>
      <w:bookmarkStart w:id="2318" w:name="_Toc14271"/>
      <w:bookmarkStart w:id="2319" w:name="_Toc7067"/>
      <w:bookmarkStart w:id="2320" w:name="_Toc32414"/>
      <w:bookmarkStart w:id="2321" w:name="_Toc1658584819"/>
      <w:bookmarkStart w:id="2322" w:name="_Toc5253"/>
      <w:bookmarkStart w:id="2323" w:name="_Toc5680"/>
      <w:bookmarkStart w:id="2324" w:name="_Toc5238"/>
      <w:bookmarkStart w:id="2325" w:name="_Toc30208"/>
      <w:bookmarkStart w:id="2326" w:name="_Toc23033"/>
      <w:bookmarkStart w:id="2327" w:name="_Toc8373"/>
      <w:bookmarkStart w:id="2328" w:name="_Toc3105"/>
      <w:bookmarkStart w:id="2329" w:name="_Toc8517"/>
      <w:bookmarkStart w:id="2330" w:name="_Toc31016"/>
      <w:bookmarkStart w:id="2331" w:name="_Toc22666"/>
      <w:bookmarkStart w:id="2332" w:name="_Toc2481"/>
      <w:bookmarkStart w:id="2333" w:name="_Toc697"/>
      <w:r>
        <w:rPr>
          <w:rFonts w:hint="eastAsia" w:ascii="仿宋" w:hAnsi="仿宋" w:eastAsia="仿宋" w:cs="仿宋"/>
          <w:b/>
          <w:sz w:val="32"/>
          <w:szCs w:val="32"/>
        </w:rPr>
        <w:t>9.5 票据有偿服务</w:t>
      </w:r>
      <w:bookmarkEnd w:id="2317"/>
      <w:bookmarkEnd w:id="2318"/>
      <w:bookmarkEnd w:id="2319"/>
      <w:bookmarkEnd w:id="2320"/>
      <w:r>
        <w:rPr>
          <w:rFonts w:hint="eastAsia" w:ascii="仿宋" w:hAnsi="仿宋" w:eastAsia="仿宋" w:cs="仿宋"/>
          <w:b/>
          <w:sz w:val="32"/>
          <w:szCs w:val="32"/>
        </w:rPr>
        <w:t>收费</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pPr>
        <w:widowControl/>
        <w:spacing w:line="590" w:lineRule="exact"/>
        <w:ind w:firstLine="643" w:firstLineChars="200"/>
        <w:outlineLvl w:val="2"/>
        <w:rPr>
          <w:rFonts w:ascii="仿宋" w:hAnsi="仿宋" w:eastAsia="仿宋" w:cs="仿宋"/>
          <w:b/>
          <w:sz w:val="32"/>
          <w:szCs w:val="32"/>
        </w:rPr>
      </w:pPr>
      <w:bookmarkStart w:id="2334" w:name="_Toc19233"/>
      <w:bookmarkStart w:id="2335" w:name="_Toc25431"/>
      <w:bookmarkStart w:id="2336" w:name="_Toc1111068237"/>
      <w:bookmarkStart w:id="2337" w:name="_Toc16533"/>
      <w:bookmarkStart w:id="2338" w:name="_Toc28361"/>
      <w:bookmarkStart w:id="2339" w:name="_Toc24287"/>
      <w:bookmarkStart w:id="2340" w:name="_Toc3984"/>
      <w:bookmarkStart w:id="2341" w:name="_Toc15296"/>
      <w:bookmarkStart w:id="2342" w:name="_Toc7861"/>
      <w:bookmarkStart w:id="2343" w:name="_Toc1513"/>
      <w:bookmarkStart w:id="2344" w:name="_Toc10276"/>
      <w:bookmarkStart w:id="2345" w:name="_Toc25023"/>
      <w:bookmarkStart w:id="2346" w:name="_Toc1266"/>
      <w:bookmarkStart w:id="2347" w:name="_Toc1395"/>
      <w:bookmarkStart w:id="2348" w:name="_Toc22406"/>
      <w:bookmarkStart w:id="2349" w:name="_Toc1674"/>
      <w:bookmarkStart w:id="2350" w:name="_Toc5278"/>
      <w:r>
        <w:rPr>
          <w:rFonts w:hint="eastAsia" w:ascii="仿宋" w:hAnsi="仿宋" w:eastAsia="仿宋" w:cs="仿宋"/>
          <w:b/>
          <w:bCs/>
          <w:sz w:val="32"/>
          <w:szCs w:val="32"/>
        </w:rPr>
        <w:t>9.5.1 收费</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[收费规则]</w:t>
      </w:r>
    </w:p>
    <w:p>
      <w:pPr>
        <w:widowControl/>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参与者服务机构或金融机构、非法人产品等直接参与者</w:t>
      </w:r>
      <w:r>
        <w:rPr>
          <w:rFonts w:hint="eastAsia" w:ascii="仿宋" w:hAnsi="仿宋" w:eastAsia="仿宋" w:cs="仿宋"/>
          <w:color w:val="000000"/>
          <w:kern w:val="0"/>
          <w:sz w:val="32"/>
          <w:szCs w:val="32"/>
          <w:lang w:bidi="ar"/>
        </w:rPr>
        <w:t>通过票交所使用票据交易、支付、登记托管、清算结算和相关基础服务的，应当按期缴纳票据有偿服务费。票据有偿服务收费项目包括交易手续费、账户维护费、结算过户费、其他结算费和终端使用费等。</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各项业务收费标准及其他规则详见《上海票据交易所关于实行票据有偿服务的通知》（票交所发</w:t>
      </w:r>
      <w:r>
        <w:rPr>
          <w:rFonts w:hint="eastAsia" w:ascii="仿宋" w:hAnsi="仿宋" w:eastAsia="仿宋" w:cs="仿宋"/>
          <w:sz w:val="32"/>
          <w:szCs w:val="32"/>
          <w:lang w:bidi="ar"/>
        </w:rPr>
        <w:t>〔2018〕</w:t>
      </w:r>
      <w:r>
        <w:rPr>
          <w:rFonts w:hint="eastAsia" w:ascii="仿宋" w:hAnsi="仿宋" w:eastAsia="仿宋" w:cs="仿宋"/>
          <w:bCs/>
          <w:sz w:val="32"/>
          <w:szCs w:val="32"/>
        </w:rPr>
        <w:t>85号）发布的《上海票据交易所票据有偿服务收费办法》。</w:t>
      </w:r>
    </w:p>
    <w:p>
      <w:pPr>
        <w:widowControl/>
        <w:numPr>
          <w:ilvl w:val="255"/>
          <w:numId w:val="0"/>
        </w:numPr>
        <w:spacing w:line="590"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sz w:val="32"/>
          <w:szCs w:val="32"/>
        </w:rPr>
        <w:t>[业务流程]</w:t>
      </w:r>
    </w:p>
    <w:p>
      <w:pPr>
        <w:widowControl/>
        <w:spacing w:line="590"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1.计费。</w:t>
      </w:r>
      <w:r>
        <w:rPr>
          <w:rFonts w:hint="eastAsia" w:ascii="仿宋" w:hAnsi="仿宋" w:eastAsia="仿宋" w:cs="仿宋"/>
          <w:color w:val="000000"/>
          <w:kern w:val="0"/>
          <w:sz w:val="32"/>
          <w:szCs w:val="32"/>
          <w:lang w:bidi="ar"/>
        </w:rPr>
        <w:t>票交所按日计算业务参与者应当缴纳的交易手续费、结算过户费和其他结算费。</w:t>
      </w:r>
    </w:p>
    <w:p>
      <w:pPr>
        <w:widowControl/>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票交所按月计算参与者应当缴纳的账户维护费。</w:t>
      </w:r>
    </w:p>
    <w:p>
      <w:pPr>
        <w:widowControl/>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票交所按年计算法人应当缴纳的终端使用费。</w:t>
      </w:r>
    </w:p>
    <w:p>
      <w:pPr>
        <w:widowControl/>
        <w:spacing w:line="590" w:lineRule="exact"/>
        <w:ind w:firstLine="643" w:firstLineChars="200"/>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2.账单生成</w:t>
      </w:r>
    </w:p>
    <w:p>
      <w:pPr>
        <w:widowControl/>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票交所于每月1日以法人为单位合并生成包含所有收费项目的票据有偿服务费账单，其中非法人产品以产品为单位单独生成票据有偿服务费账单。</w:t>
      </w:r>
    </w:p>
    <w:p>
      <w:pPr>
        <w:widowControl/>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金融机构于每月10日之前核对并确认上月账单。</w:t>
      </w:r>
    </w:p>
    <w:p>
      <w:pPr>
        <w:widowControl/>
        <w:spacing w:line="590" w:lineRule="exact"/>
        <w:ind w:firstLine="643" w:firstLineChars="200"/>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3.扣费</w:t>
      </w:r>
    </w:p>
    <w:p>
      <w:pPr>
        <w:spacing w:line="590" w:lineRule="exact"/>
        <w:ind w:firstLine="640" w:firstLineChars="200"/>
        <w:rPr>
          <w:rFonts w:ascii="仿宋" w:hAnsi="仿宋" w:eastAsia="仿宋" w:cs="仿宋"/>
          <w:sz w:val="32"/>
          <w:szCs w:val="32"/>
        </w:rPr>
      </w:pPr>
      <w:r>
        <w:rPr>
          <w:rFonts w:hint="eastAsia" w:ascii="仿宋" w:hAnsi="仿宋" w:eastAsia="仿宋" w:cs="仿宋"/>
          <w:color w:val="000000"/>
          <w:kern w:val="0"/>
          <w:sz w:val="32"/>
          <w:szCs w:val="32"/>
          <w:lang w:bidi="ar"/>
        </w:rPr>
        <w:t>票交所于每月15日（</w:t>
      </w:r>
      <w:r>
        <w:rPr>
          <w:rFonts w:hint="eastAsia" w:ascii="仿宋" w:hAnsi="仿宋" w:eastAsia="仿宋" w:cs="仿宋"/>
          <w:sz w:val="32"/>
          <w:szCs w:val="32"/>
        </w:rPr>
        <w:t>遇法定休假日、大额支付系统非营业日、票据业务系统非营业日顺延</w:t>
      </w:r>
      <w:r>
        <w:rPr>
          <w:rFonts w:hint="eastAsia" w:ascii="仿宋" w:hAnsi="仿宋" w:eastAsia="仿宋" w:cs="仿宋"/>
          <w:color w:val="000000"/>
          <w:kern w:val="0"/>
          <w:sz w:val="32"/>
          <w:szCs w:val="32"/>
          <w:lang w:bidi="ar"/>
        </w:rPr>
        <w:t>）起向金融机构指定的清算路径扣收账单费用，扣费当日清算路径余额不足的，</w:t>
      </w:r>
      <w:r>
        <w:rPr>
          <w:rFonts w:hint="eastAsia" w:ascii="仿宋" w:hAnsi="仿宋" w:eastAsia="仿宋" w:cs="仿宋"/>
          <w:sz w:val="32"/>
          <w:szCs w:val="32"/>
        </w:rPr>
        <w:t>做排队处理。扣费截止时间仍未扣款成功的，账单扣费失败，票交所于下一个营业日继续扣款。</w:t>
      </w:r>
    </w:p>
    <w:p>
      <w:pPr>
        <w:spacing w:line="590" w:lineRule="exact"/>
        <w:ind w:firstLine="640" w:firstLineChars="200"/>
        <w:rPr>
          <w:rFonts w:ascii="仿宋" w:hAnsi="仿宋" w:eastAsia="仿宋" w:cs="仿宋"/>
          <w:sz w:val="32"/>
          <w:szCs w:val="32"/>
        </w:rPr>
      </w:pPr>
    </w:p>
    <w:p>
      <w:pPr>
        <w:widowControl/>
        <w:numPr>
          <w:ilvl w:val="255"/>
          <w:numId w:val="0"/>
        </w:numPr>
        <w:spacing w:line="590" w:lineRule="exact"/>
        <w:ind w:firstLine="643" w:firstLineChars="200"/>
        <w:outlineLvl w:val="2"/>
        <w:rPr>
          <w:rFonts w:ascii="仿宋" w:hAnsi="仿宋" w:eastAsia="仿宋" w:cs="仿宋"/>
          <w:sz w:val="32"/>
          <w:szCs w:val="32"/>
        </w:rPr>
      </w:pPr>
      <w:bookmarkStart w:id="2351" w:name="_Toc8583"/>
      <w:bookmarkStart w:id="2352" w:name="_Toc30168"/>
      <w:bookmarkStart w:id="2353" w:name="_Toc1982"/>
      <w:bookmarkStart w:id="2354" w:name="_Toc10713"/>
      <w:bookmarkStart w:id="2355" w:name="_Toc1661569849"/>
      <w:bookmarkStart w:id="2356" w:name="_Toc24024"/>
      <w:bookmarkStart w:id="2357" w:name="_Toc23081"/>
      <w:bookmarkStart w:id="2358" w:name="_Toc26355"/>
      <w:bookmarkStart w:id="2359" w:name="_Toc16154"/>
      <w:bookmarkStart w:id="2360" w:name="_Toc11412"/>
      <w:bookmarkStart w:id="2361" w:name="_Toc6183"/>
      <w:bookmarkStart w:id="2362" w:name="_Toc11168"/>
      <w:bookmarkStart w:id="2363" w:name="_Toc7239"/>
      <w:bookmarkStart w:id="2364" w:name="_Toc23761"/>
      <w:bookmarkStart w:id="2365" w:name="_Toc2742"/>
      <w:bookmarkStart w:id="2366" w:name="_Toc26363"/>
      <w:bookmarkStart w:id="2367" w:name="_Toc28986"/>
      <w:r>
        <w:rPr>
          <w:rFonts w:hint="eastAsia" w:ascii="仿宋" w:hAnsi="仿宋" w:eastAsia="仿宋" w:cs="仿宋"/>
          <w:b/>
          <w:bCs/>
          <w:color w:val="000000"/>
          <w:kern w:val="0"/>
          <w:sz w:val="32"/>
          <w:szCs w:val="32"/>
          <w:lang w:bidi="ar"/>
        </w:rPr>
        <w:t>9.5.2 账单及费用明细查询</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pPr>
        <w:spacing w:line="590"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1.已出账单查询。</w:t>
      </w:r>
      <w:r>
        <w:rPr>
          <w:rFonts w:hint="eastAsia" w:ascii="仿宋" w:hAnsi="仿宋" w:eastAsia="仿宋" w:cs="仿宋"/>
          <w:color w:val="000000"/>
          <w:kern w:val="0"/>
          <w:sz w:val="32"/>
          <w:szCs w:val="32"/>
          <w:lang w:bidi="ar"/>
        </w:rPr>
        <w:t>金融机构可于每月1日后通过票交所查询、下载和打印上月的票据有偿服务费账单，最多可查询过往12个月的账单。</w:t>
      </w:r>
    </w:p>
    <w:p>
      <w:pPr>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金融机构可查询本级或下辖机构账单及费用明细。非法人产品管理人可查询名下管理的所有非法人产品账单及费用明细。</w:t>
      </w:r>
    </w:p>
    <w:p>
      <w:pPr>
        <w:widowControl/>
        <w:spacing w:line="590"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2.未出账单查询。</w:t>
      </w:r>
      <w:r>
        <w:rPr>
          <w:rFonts w:hint="eastAsia" w:ascii="仿宋" w:hAnsi="仿宋" w:eastAsia="仿宋" w:cs="仿宋"/>
          <w:color w:val="000000"/>
          <w:kern w:val="0"/>
          <w:sz w:val="32"/>
          <w:szCs w:val="32"/>
          <w:lang w:bidi="ar"/>
        </w:rPr>
        <w:t>业务参与者可通过票交所查询当月本级或下辖机构未出账单，账单时段为当月1日至查询日前一日。</w:t>
      </w:r>
    </w:p>
    <w:p>
      <w:pPr>
        <w:widowControl/>
        <w:spacing w:line="590" w:lineRule="exact"/>
        <w:ind w:firstLine="643" w:firstLineChars="200"/>
        <w:rPr>
          <w:rFonts w:ascii="仿宋" w:hAnsi="仿宋" w:eastAsia="仿宋" w:cs="仿宋"/>
          <w:color w:val="000000"/>
          <w:kern w:val="0"/>
          <w:sz w:val="32"/>
          <w:szCs w:val="32"/>
          <w:lang w:bidi="ar"/>
        </w:rPr>
      </w:pPr>
      <w:r>
        <w:rPr>
          <w:rFonts w:hint="eastAsia" w:ascii="仿宋" w:hAnsi="仿宋" w:eastAsia="仿宋" w:cs="仿宋"/>
          <w:b/>
          <w:bCs/>
          <w:color w:val="000000"/>
          <w:kern w:val="0"/>
          <w:sz w:val="32"/>
          <w:szCs w:val="32"/>
          <w:lang w:bidi="ar"/>
        </w:rPr>
        <w:t>3.计费基础表查询。</w:t>
      </w:r>
      <w:r>
        <w:rPr>
          <w:rFonts w:hint="eastAsia" w:ascii="仿宋" w:hAnsi="仿宋" w:eastAsia="仿宋" w:cs="仿宋"/>
          <w:color w:val="000000"/>
          <w:kern w:val="0"/>
          <w:sz w:val="32"/>
          <w:szCs w:val="32"/>
          <w:lang w:bidi="ar"/>
        </w:rPr>
        <w:t>业务参与者可通过票交所查询本级及下辖机构某一时段的所有收费项目明细。</w:t>
      </w:r>
    </w:p>
    <w:p>
      <w:pPr>
        <w:widowControl/>
        <w:spacing w:line="590" w:lineRule="exact"/>
        <w:ind w:firstLine="640" w:firstLineChars="200"/>
        <w:rPr>
          <w:rFonts w:ascii="仿宋" w:hAnsi="仿宋" w:eastAsia="仿宋" w:cs="仿宋"/>
          <w:color w:val="000000"/>
          <w:kern w:val="0"/>
          <w:sz w:val="32"/>
          <w:szCs w:val="32"/>
          <w:lang w:bidi="ar"/>
        </w:rPr>
      </w:pPr>
    </w:p>
    <w:p>
      <w:pPr>
        <w:widowControl/>
        <w:numPr>
          <w:ilvl w:val="255"/>
          <w:numId w:val="0"/>
        </w:numPr>
        <w:spacing w:line="590" w:lineRule="exact"/>
        <w:ind w:firstLine="643" w:firstLineChars="200"/>
        <w:outlineLvl w:val="2"/>
        <w:rPr>
          <w:rFonts w:ascii="仿宋" w:hAnsi="仿宋" w:eastAsia="仿宋" w:cs="仿宋"/>
          <w:color w:val="000000"/>
          <w:kern w:val="0"/>
          <w:sz w:val="32"/>
          <w:szCs w:val="32"/>
          <w:lang w:bidi="ar"/>
        </w:rPr>
      </w:pPr>
      <w:bookmarkStart w:id="2368" w:name="_Toc5117"/>
      <w:bookmarkStart w:id="2369" w:name="_Toc9832"/>
      <w:bookmarkStart w:id="2370" w:name="_Toc757563804"/>
      <w:bookmarkStart w:id="2371" w:name="_Toc18156"/>
      <w:bookmarkStart w:id="2372" w:name="_Toc10410"/>
      <w:bookmarkStart w:id="2373" w:name="_Toc5914"/>
      <w:bookmarkStart w:id="2374" w:name="_Toc22630"/>
      <w:bookmarkStart w:id="2375" w:name="_Toc28471"/>
      <w:bookmarkStart w:id="2376" w:name="_Toc29422"/>
      <w:bookmarkStart w:id="2377" w:name="_Toc18344"/>
      <w:bookmarkStart w:id="2378" w:name="_Toc21776"/>
      <w:bookmarkStart w:id="2379" w:name="_Toc17802"/>
      <w:bookmarkStart w:id="2380" w:name="_Toc12211"/>
      <w:bookmarkStart w:id="2381" w:name="_Toc15773"/>
      <w:bookmarkStart w:id="2382" w:name="_Toc25404"/>
      <w:bookmarkStart w:id="2383" w:name="_Toc1041"/>
      <w:bookmarkStart w:id="2384" w:name="_Toc1937"/>
      <w:r>
        <w:rPr>
          <w:rFonts w:hint="eastAsia" w:ascii="仿宋" w:hAnsi="仿宋" w:eastAsia="仿宋" w:cs="仿宋"/>
          <w:b/>
          <w:bCs/>
          <w:sz w:val="32"/>
          <w:szCs w:val="32"/>
        </w:rPr>
        <w:t>9.5.3 发票</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pPr>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金融机构应当在票交所预留发票相关信息，票交所定期为金融机构开具已缴费成功的账单发票，并寄送至其预留地址。</w:t>
      </w:r>
    </w:p>
    <w:p>
      <w:pPr>
        <w:spacing w:line="590" w:lineRule="exact"/>
        <w:ind w:firstLine="640" w:firstLineChars="200"/>
        <w:rPr>
          <w:rFonts w:ascii="仿宋" w:hAnsi="仿宋" w:eastAsia="仿宋" w:cs="仿宋"/>
          <w:color w:val="000000"/>
          <w:kern w:val="0"/>
          <w:sz w:val="32"/>
          <w:szCs w:val="32"/>
          <w:lang w:bidi="ar"/>
        </w:rPr>
      </w:pPr>
    </w:p>
    <w:p>
      <w:pPr>
        <w:widowControl/>
        <w:numPr>
          <w:ilvl w:val="255"/>
          <w:numId w:val="0"/>
        </w:numPr>
        <w:spacing w:line="590" w:lineRule="exact"/>
        <w:ind w:firstLine="643" w:firstLineChars="200"/>
        <w:outlineLvl w:val="2"/>
        <w:rPr>
          <w:rFonts w:ascii="仿宋" w:hAnsi="仿宋" w:eastAsia="仿宋" w:cs="仿宋"/>
          <w:b/>
          <w:bCs/>
          <w:sz w:val="32"/>
          <w:szCs w:val="32"/>
        </w:rPr>
      </w:pPr>
      <w:bookmarkStart w:id="2385" w:name="_Toc31040"/>
      <w:bookmarkStart w:id="2386" w:name="_Toc28965"/>
      <w:bookmarkStart w:id="2387" w:name="_Toc4641"/>
      <w:bookmarkStart w:id="2388" w:name="_Toc10158"/>
      <w:bookmarkStart w:id="2389" w:name="_Toc12165"/>
      <w:bookmarkStart w:id="2390" w:name="_Toc627198952"/>
      <w:bookmarkStart w:id="2391" w:name="_Toc27433"/>
      <w:bookmarkStart w:id="2392" w:name="_Toc10472"/>
      <w:bookmarkStart w:id="2393" w:name="_Toc30593"/>
      <w:bookmarkStart w:id="2394" w:name="_Toc29348"/>
      <w:bookmarkStart w:id="2395" w:name="_Toc136"/>
      <w:bookmarkStart w:id="2396" w:name="_Toc24417"/>
      <w:bookmarkStart w:id="2397" w:name="_Toc22775"/>
      <w:bookmarkStart w:id="2398" w:name="_Toc9388"/>
      <w:bookmarkStart w:id="2399" w:name="_Toc4008"/>
      <w:bookmarkStart w:id="2400" w:name="_Toc28786"/>
      <w:bookmarkStart w:id="2401" w:name="_Toc27620"/>
      <w:r>
        <w:rPr>
          <w:rFonts w:hint="eastAsia" w:ascii="仿宋" w:hAnsi="仿宋" w:eastAsia="仿宋" w:cs="仿宋"/>
          <w:b/>
          <w:bCs/>
          <w:sz w:val="32"/>
          <w:szCs w:val="32"/>
        </w:rPr>
        <w:t>9.5.4 逾期</w:t>
      </w:r>
      <w:r>
        <w:rPr>
          <w:rFonts w:hint="eastAsia" w:ascii="仿宋" w:hAnsi="仿宋" w:eastAsia="仿宋" w:cs="仿宋"/>
          <w:b/>
          <w:sz w:val="32"/>
          <w:szCs w:val="32"/>
        </w:rPr>
        <w:t>缴费</w:t>
      </w:r>
      <w:r>
        <w:rPr>
          <w:rFonts w:hint="eastAsia" w:ascii="仿宋" w:hAnsi="仿宋" w:eastAsia="仿宋" w:cs="仿宋"/>
          <w:b/>
          <w:bCs/>
          <w:sz w:val="32"/>
          <w:szCs w:val="32"/>
        </w:rPr>
        <w:t>处理</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pPr>
        <w:widowControl/>
        <w:spacing w:line="590" w:lineRule="exact"/>
        <w:ind w:firstLine="640" w:firstLineChars="200"/>
        <w:rPr>
          <w:rFonts w:ascii="仿宋" w:hAnsi="仿宋" w:eastAsia="仿宋" w:cs="仿宋"/>
          <w:b/>
          <w:bCs/>
          <w:color w:val="000000"/>
          <w:kern w:val="0"/>
          <w:sz w:val="32"/>
          <w:szCs w:val="32"/>
          <w:lang w:bidi="ar"/>
        </w:rPr>
      </w:pPr>
      <w:r>
        <w:rPr>
          <w:rFonts w:hint="eastAsia" w:ascii="仿宋" w:hAnsi="仿宋" w:eastAsia="仿宋" w:cs="仿宋"/>
          <w:color w:val="000000"/>
          <w:kern w:val="0"/>
          <w:sz w:val="32"/>
          <w:szCs w:val="32"/>
          <w:lang w:bidi="ar"/>
        </w:rPr>
        <w:t>金融机构逾期缴纳票据有偿服务费用超过7个法定工作日且经票交所催缴后在规定时限内仍未补缴的，票交所暂停向其提供票据有偿服务，每日按欠缴费用的万分之五加收违约金。票交所将通过官方网站予以公布。</w:t>
      </w:r>
    </w:p>
    <w:p>
      <w:pPr>
        <w:spacing w:line="590" w:lineRule="exact"/>
        <w:ind w:firstLine="640" w:firstLineChars="200"/>
        <w:rPr>
          <w:rFonts w:ascii="仿宋" w:hAnsi="仿宋" w:eastAsia="仿宋" w:cs="仿宋"/>
          <w:sz w:val="32"/>
          <w:szCs w:val="32"/>
        </w:rPr>
      </w:pP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br w:type="page"/>
      </w:r>
    </w:p>
    <w:p>
      <w:pPr>
        <w:spacing w:line="590" w:lineRule="exact"/>
        <w:jc w:val="center"/>
        <w:outlineLvl w:val="0"/>
        <w:rPr>
          <w:rFonts w:ascii="仿宋" w:hAnsi="仿宋" w:eastAsia="仿宋" w:cs="仿宋"/>
          <w:b/>
          <w:bCs/>
          <w:kern w:val="44"/>
          <w:sz w:val="40"/>
          <w:szCs w:val="40"/>
        </w:rPr>
      </w:pPr>
      <w:bookmarkStart w:id="2402" w:name="_Toc26078"/>
      <w:bookmarkStart w:id="2403" w:name="_Toc25627"/>
      <w:bookmarkStart w:id="2404" w:name="_Toc32027"/>
      <w:bookmarkStart w:id="2405" w:name="_Toc24951"/>
      <w:bookmarkStart w:id="2406" w:name="_Toc7251"/>
      <w:bookmarkStart w:id="2407" w:name="_Toc10118"/>
      <w:bookmarkStart w:id="2408" w:name="_Toc12126"/>
      <w:bookmarkStart w:id="2409" w:name="_Toc30419"/>
      <w:bookmarkStart w:id="2410" w:name="_Toc8988"/>
      <w:bookmarkStart w:id="2411" w:name="_Toc7836"/>
      <w:bookmarkStart w:id="2412" w:name="_Toc5668"/>
      <w:bookmarkStart w:id="2413" w:name="_Toc754679802"/>
      <w:bookmarkStart w:id="2414" w:name="_Toc27589"/>
      <w:bookmarkStart w:id="2415" w:name="_Toc31440"/>
      <w:bookmarkStart w:id="2416" w:name="_Toc28987"/>
      <w:bookmarkStart w:id="2417" w:name="_Toc31119"/>
      <w:bookmarkStart w:id="2418" w:name="_Toc9949"/>
      <w:r>
        <w:rPr>
          <w:rFonts w:hint="eastAsia" w:ascii="仿宋" w:hAnsi="仿宋" w:eastAsia="仿宋" w:cs="仿宋"/>
          <w:b/>
          <w:bCs/>
          <w:kern w:val="44"/>
          <w:sz w:val="40"/>
          <w:szCs w:val="40"/>
        </w:rPr>
        <w:t>第十章 信息披露</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pPr>
        <w:spacing w:line="590" w:lineRule="exact"/>
        <w:ind w:firstLine="643" w:firstLineChars="200"/>
        <w:rPr>
          <w:rFonts w:ascii="仿宋" w:hAnsi="仿宋" w:eastAsia="仿宋" w:cs="仿宋"/>
          <w:b/>
          <w:bCs/>
          <w:sz w:val="32"/>
          <w:szCs w:val="32"/>
        </w:rPr>
      </w:pPr>
    </w:p>
    <w:p>
      <w:pPr>
        <w:spacing w:line="590" w:lineRule="exact"/>
        <w:ind w:firstLine="643" w:firstLineChars="200"/>
        <w:outlineLvl w:val="1"/>
        <w:rPr>
          <w:rFonts w:ascii="仿宋" w:hAnsi="仿宋" w:eastAsia="仿宋" w:cs="仿宋"/>
          <w:b/>
          <w:bCs/>
          <w:sz w:val="32"/>
          <w:szCs w:val="32"/>
        </w:rPr>
      </w:pPr>
      <w:bookmarkStart w:id="2419" w:name="_Toc22744"/>
      <w:bookmarkStart w:id="2420" w:name="_Toc28"/>
      <w:bookmarkStart w:id="2421" w:name="_Toc279052493"/>
      <w:bookmarkStart w:id="2422" w:name="_Toc3585"/>
      <w:bookmarkStart w:id="2423" w:name="_Toc19908"/>
      <w:bookmarkStart w:id="2424" w:name="_Toc371"/>
      <w:bookmarkStart w:id="2425" w:name="_Toc19710"/>
      <w:bookmarkStart w:id="2426" w:name="_Toc32585"/>
      <w:bookmarkStart w:id="2427" w:name="_Toc3300"/>
      <w:bookmarkStart w:id="2428" w:name="_Toc1472"/>
      <w:bookmarkStart w:id="2429" w:name="_Toc11128"/>
      <w:bookmarkStart w:id="2430" w:name="_Toc5378"/>
      <w:bookmarkStart w:id="2431" w:name="_Toc21225"/>
      <w:bookmarkStart w:id="2432" w:name="_Toc26486"/>
      <w:bookmarkStart w:id="2433" w:name="_Toc28480"/>
      <w:bookmarkStart w:id="2434" w:name="_Toc22890"/>
      <w:bookmarkStart w:id="2435" w:name="_Toc30530"/>
      <w:r>
        <w:rPr>
          <w:rFonts w:hint="eastAsia" w:ascii="仿宋" w:hAnsi="仿宋" w:eastAsia="仿宋" w:cs="仿宋"/>
          <w:b/>
          <w:bCs/>
          <w:sz w:val="32"/>
          <w:szCs w:val="32"/>
        </w:rPr>
        <w:t xml:space="preserve">10.1 </w:t>
      </w:r>
      <w:r>
        <w:rPr>
          <w:rFonts w:hint="eastAsia" w:ascii="仿宋" w:hAnsi="仿宋" w:eastAsia="仿宋" w:cs="仿宋"/>
          <w:b/>
          <w:sz w:val="32"/>
          <w:szCs w:val="32"/>
        </w:rPr>
        <w:t>信息</w:t>
      </w:r>
      <w:r>
        <w:rPr>
          <w:rFonts w:hint="eastAsia" w:ascii="仿宋" w:hAnsi="仿宋" w:eastAsia="仿宋" w:cs="仿宋"/>
          <w:b/>
          <w:bCs/>
          <w:sz w:val="32"/>
          <w:szCs w:val="32"/>
        </w:rPr>
        <w:t>披露</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根据中国人民银行《关于规范商业承兑汇票信息披露的公告》、票交所《商业承兑汇票信息披露操作细则》</w:t>
      </w:r>
      <w:r>
        <w:rPr>
          <w:rFonts w:ascii="仿宋" w:hAnsi="仿宋" w:eastAsia="仿宋" w:cs="仿宋"/>
          <w:bCs/>
          <w:sz w:val="32"/>
          <w:szCs w:val="32"/>
        </w:rPr>
        <w:t>，</w:t>
      </w:r>
      <w:r>
        <w:rPr>
          <w:rFonts w:hint="eastAsia" w:ascii="仿宋" w:hAnsi="仿宋" w:eastAsia="仿宋" w:cs="仿宋"/>
          <w:sz w:val="32"/>
          <w:szCs w:val="32"/>
        </w:rPr>
        <w:t>票据承兑人应当按要求披露其承兑票据的承兑信息和承兑信用信息。</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436" w:name="_Toc22732"/>
      <w:bookmarkStart w:id="2437" w:name="_Toc23680"/>
      <w:bookmarkStart w:id="2438" w:name="_Toc656"/>
      <w:bookmarkStart w:id="2439" w:name="_Toc10781"/>
      <w:bookmarkStart w:id="2440" w:name="_Toc25337"/>
      <w:bookmarkStart w:id="2441" w:name="_Toc961302002"/>
      <w:bookmarkStart w:id="2442" w:name="_Toc22813"/>
      <w:bookmarkStart w:id="2443" w:name="_Toc122"/>
      <w:bookmarkStart w:id="2444" w:name="_Toc11196"/>
      <w:bookmarkStart w:id="2445" w:name="_Toc19299"/>
      <w:bookmarkStart w:id="2446" w:name="_Toc19553"/>
      <w:bookmarkStart w:id="2447" w:name="_Toc31078"/>
      <w:bookmarkStart w:id="2448" w:name="_Toc9393"/>
      <w:bookmarkStart w:id="2449" w:name="_Toc4748"/>
      <w:bookmarkStart w:id="2450" w:name="_Toc9980"/>
      <w:bookmarkStart w:id="2451" w:name="_Toc13563"/>
      <w:bookmarkStart w:id="2452" w:name="_Toc28194"/>
      <w:r>
        <w:rPr>
          <w:rFonts w:hint="eastAsia" w:ascii="仿宋" w:hAnsi="仿宋" w:eastAsia="仿宋" w:cs="仿宋"/>
          <w:b/>
          <w:sz w:val="32"/>
          <w:szCs w:val="32"/>
        </w:rPr>
        <w:t>10.1.1 承兑信息披露</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[业务流程]</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承兑人应当披露每张收款人已收票的票据承兑信息。票据承兑信息披露应当至少包含以下内容：</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1.出票日期；</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2.承兑日期；</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3.票据</w:t>
      </w:r>
      <w:r>
        <w:rPr>
          <w:rFonts w:ascii="仿宋" w:hAnsi="仿宋" w:eastAsia="仿宋" w:cs="仿宋"/>
          <w:bCs/>
          <w:sz w:val="32"/>
          <w:szCs w:val="32"/>
        </w:rPr>
        <w:t>（</w:t>
      </w:r>
      <w:r>
        <w:rPr>
          <w:rFonts w:hint="eastAsia" w:ascii="仿宋" w:hAnsi="仿宋" w:eastAsia="仿宋" w:cs="仿宋"/>
          <w:bCs/>
          <w:sz w:val="32"/>
          <w:szCs w:val="32"/>
          <w:lang w:eastAsia="zh-Hans"/>
        </w:rPr>
        <w:t>包</w:t>
      </w:r>
      <w:r>
        <w:rPr>
          <w:rFonts w:ascii="仿宋" w:hAnsi="仿宋" w:eastAsia="仿宋" w:cs="仿宋"/>
          <w:bCs/>
          <w:sz w:val="32"/>
          <w:szCs w:val="32"/>
        </w:rPr>
        <w:t>）</w:t>
      </w:r>
      <w:r>
        <w:rPr>
          <w:rFonts w:hint="eastAsia" w:ascii="仿宋" w:hAnsi="仿宋" w:eastAsia="仿宋" w:cs="仿宋"/>
          <w:bCs/>
          <w:sz w:val="32"/>
          <w:szCs w:val="32"/>
        </w:rPr>
        <w:t>号码；</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4.出票人名称；</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5.承兑人名称；</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6.承兑人统一社会信用代码；</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7.票面金额；</w:t>
      </w:r>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8.票据到期日。</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453" w:name="_Toc32284"/>
      <w:bookmarkStart w:id="2454" w:name="_Toc30387"/>
      <w:bookmarkStart w:id="2455" w:name="_Toc27390"/>
      <w:bookmarkStart w:id="2456" w:name="_Toc21644"/>
      <w:bookmarkStart w:id="2457" w:name="_Toc1598"/>
      <w:bookmarkStart w:id="2458" w:name="_Toc10793"/>
      <w:bookmarkStart w:id="2459" w:name="_Toc32452"/>
      <w:bookmarkStart w:id="2460" w:name="_Toc2126708129"/>
      <w:bookmarkStart w:id="2461" w:name="_Toc20671"/>
      <w:bookmarkStart w:id="2462" w:name="_Toc23510"/>
      <w:bookmarkStart w:id="2463" w:name="_Toc2276"/>
      <w:bookmarkStart w:id="2464" w:name="_Toc165"/>
      <w:bookmarkStart w:id="2465" w:name="_Toc13887"/>
      <w:r>
        <w:rPr>
          <w:rFonts w:hint="eastAsia" w:ascii="仿宋" w:hAnsi="仿宋" w:eastAsia="仿宋" w:cs="仿宋"/>
          <w:b/>
          <w:sz w:val="32"/>
          <w:szCs w:val="32"/>
        </w:rPr>
        <w:t>10.1.2 承兑信用信息披露</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[业务</w:t>
      </w:r>
      <w:r>
        <w:rPr>
          <w:rFonts w:hint="eastAsia" w:ascii="仿宋" w:hAnsi="仿宋" w:eastAsia="仿宋" w:cs="仿宋"/>
          <w:b/>
          <w:sz w:val="32"/>
          <w:szCs w:val="32"/>
          <w:lang w:eastAsia="zh-Hans"/>
        </w:rPr>
        <w:t>规则</w:t>
      </w:r>
      <w:r>
        <w:rPr>
          <w:rFonts w:hint="eastAsia" w:ascii="仿宋" w:hAnsi="仿宋" w:eastAsia="仿宋" w:cs="仿宋"/>
          <w:b/>
          <w:sz w:val="32"/>
          <w:szCs w:val="32"/>
        </w:rPr>
        <w:t>]</w:t>
      </w:r>
    </w:p>
    <w:p>
      <w:pPr>
        <w:spacing w:line="590" w:lineRule="exact"/>
        <w:ind w:firstLine="640" w:firstLineChars="200"/>
        <w:rPr>
          <w:rFonts w:ascii="仿宋" w:hAnsi="仿宋" w:eastAsia="仿宋" w:cs="仿宋"/>
          <w:bCs/>
          <w:sz w:val="32"/>
          <w:szCs w:val="32"/>
          <w:lang w:eastAsia="zh-Hans"/>
        </w:rPr>
      </w:pPr>
      <w:r>
        <w:rPr>
          <w:rFonts w:hint="eastAsia" w:ascii="仿宋" w:hAnsi="仿宋" w:eastAsia="仿宋" w:cs="仿宋"/>
          <w:bCs/>
          <w:sz w:val="32"/>
          <w:szCs w:val="32"/>
        </w:rPr>
        <w:t>承兑信用信息</w:t>
      </w:r>
      <w:r>
        <w:rPr>
          <w:rFonts w:hint="eastAsia" w:ascii="仿宋" w:hAnsi="仿宋" w:eastAsia="仿宋" w:cs="仿宋"/>
          <w:bCs/>
          <w:sz w:val="32"/>
          <w:szCs w:val="32"/>
          <w:lang w:eastAsia="zh-Hans"/>
        </w:rPr>
        <w:t>统计口径如下</w:t>
      </w:r>
      <w:r>
        <w:rPr>
          <w:rFonts w:ascii="仿宋" w:hAnsi="仿宋" w:eastAsia="仿宋" w:cs="仿宋"/>
          <w:bCs/>
          <w:sz w:val="32"/>
          <w:szCs w:val="32"/>
          <w:lang w:eastAsia="zh-Hans"/>
        </w:rPr>
        <w:t>：</w:t>
      </w:r>
    </w:p>
    <w:p>
      <w:pPr>
        <w:spacing w:line="590" w:lineRule="exact"/>
        <w:ind w:firstLine="640" w:firstLineChars="200"/>
        <w:rPr>
          <w:rFonts w:ascii="仿宋" w:hAnsi="仿宋" w:eastAsia="仿宋" w:cs="仿宋"/>
          <w:bCs/>
          <w:sz w:val="32"/>
          <w:szCs w:val="32"/>
          <w:lang w:eastAsia="zh-Hans"/>
        </w:rPr>
      </w:pPr>
      <w:r>
        <w:rPr>
          <w:rFonts w:hint="eastAsia" w:ascii="仿宋" w:hAnsi="仿宋" w:eastAsia="仿宋" w:cs="仿宋"/>
          <w:bCs/>
          <w:sz w:val="32"/>
          <w:szCs w:val="32"/>
        </w:rPr>
        <w:t>1.</w:t>
      </w:r>
      <w:r>
        <w:rPr>
          <w:rFonts w:ascii="仿宋" w:hAnsi="仿宋" w:eastAsia="仿宋" w:cs="仿宋"/>
          <w:bCs/>
          <w:sz w:val="32"/>
          <w:szCs w:val="32"/>
          <w:lang w:eastAsia="zh-Hans"/>
        </w:rPr>
        <w:t>累计承兑发生额是指当年累计承兑发生额，即当年1月1日至披露日上一月月末累计承兑的</w:t>
      </w:r>
      <w:r>
        <w:rPr>
          <w:rFonts w:hint="eastAsia" w:ascii="仿宋" w:hAnsi="仿宋" w:eastAsia="仿宋" w:cs="仿宋"/>
          <w:bCs/>
          <w:sz w:val="32"/>
          <w:szCs w:val="32"/>
        </w:rPr>
        <w:t>电票</w:t>
      </w:r>
      <w:r>
        <w:rPr>
          <w:rFonts w:ascii="仿宋" w:hAnsi="仿宋" w:eastAsia="仿宋" w:cs="仿宋"/>
          <w:bCs/>
          <w:sz w:val="32"/>
          <w:szCs w:val="32"/>
          <w:lang w:eastAsia="zh-Hans"/>
        </w:rPr>
        <w:t>总金额。收款人未签收的</w:t>
      </w:r>
      <w:r>
        <w:rPr>
          <w:rFonts w:hint="eastAsia" w:ascii="仿宋" w:hAnsi="仿宋" w:eastAsia="仿宋" w:cs="仿宋"/>
          <w:bCs/>
          <w:sz w:val="32"/>
          <w:szCs w:val="32"/>
        </w:rPr>
        <w:t>电票</w:t>
      </w:r>
      <w:r>
        <w:rPr>
          <w:rFonts w:ascii="仿宋" w:hAnsi="仿宋" w:eastAsia="仿宋" w:cs="仿宋"/>
          <w:bCs/>
          <w:sz w:val="32"/>
          <w:szCs w:val="32"/>
          <w:lang w:eastAsia="zh-Hans"/>
        </w:rPr>
        <w:t>不计入承兑人的累计承兑发生额内。</w:t>
      </w:r>
    </w:p>
    <w:p>
      <w:pPr>
        <w:spacing w:line="590" w:lineRule="exact"/>
        <w:ind w:firstLine="640" w:firstLineChars="200"/>
        <w:rPr>
          <w:rFonts w:ascii="仿宋" w:hAnsi="仿宋" w:eastAsia="仿宋" w:cs="仿宋"/>
          <w:bCs/>
          <w:sz w:val="32"/>
          <w:szCs w:val="32"/>
          <w:lang w:eastAsia="zh-Hans"/>
        </w:rPr>
      </w:pPr>
      <w:r>
        <w:rPr>
          <w:rFonts w:hint="eastAsia" w:ascii="仿宋" w:hAnsi="仿宋" w:eastAsia="仿宋" w:cs="仿宋"/>
          <w:bCs/>
          <w:sz w:val="32"/>
          <w:szCs w:val="32"/>
        </w:rPr>
        <w:t>2.</w:t>
      </w:r>
      <w:r>
        <w:rPr>
          <w:rFonts w:ascii="仿宋" w:hAnsi="仿宋" w:eastAsia="仿宋" w:cs="仿宋"/>
          <w:bCs/>
          <w:sz w:val="32"/>
          <w:szCs w:val="32"/>
          <w:lang w:eastAsia="zh-Hans"/>
        </w:rPr>
        <w:t>承兑余额是指截至披露日上一月月末，承兑人已承兑但未结清的</w:t>
      </w:r>
      <w:r>
        <w:rPr>
          <w:rFonts w:hint="eastAsia" w:ascii="仿宋" w:hAnsi="仿宋" w:eastAsia="仿宋" w:cs="仿宋"/>
          <w:bCs/>
          <w:sz w:val="32"/>
          <w:szCs w:val="32"/>
        </w:rPr>
        <w:t>电票</w:t>
      </w:r>
      <w:r>
        <w:rPr>
          <w:rFonts w:ascii="仿宋" w:hAnsi="仿宋" w:eastAsia="仿宋" w:cs="仿宋"/>
          <w:bCs/>
          <w:sz w:val="32"/>
          <w:szCs w:val="32"/>
          <w:lang w:eastAsia="zh-Hans"/>
        </w:rPr>
        <w:t>总金额。承兑余额统计既包括未到期</w:t>
      </w:r>
      <w:r>
        <w:rPr>
          <w:rFonts w:hint="eastAsia" w:ascii="仿宋" w:hAnsi="仿宋" w:eastAsia="仿宋" w:cs="仿宋"/>
          <w:bCs/>
          <w:sz w:val="32"/>
          <w:szCs w:val="32"/>
        </w:rPr>
        <w:t>电票</w:t>
      </w:r>
      <w:r>
        <w:rPr>
          <w:rFonts w:ascii="仿宋" w:hAnsi="仿宋" w:eastAsia="仿宋" w:cs="仿宋"/>
          <w:bCs/>
          <w:sz w:val="32"/>
          <w:szCs w:val="32"/>
          <w:lang w:eastAsia="zh-Hans"/>
        </w:rPr>
        <w:t>，也包括已到期但未结清的</w:t>
      </w:r>
      <w:r>
        <w:rPr>
          <w:rFonts w:hint="eastAsia" w:ascii="仿宋" w:hAnsi="仿宋" w:eastAsia="仿宋" w:cs="仿宋"/>
          <w:bCs/>
          <w:sz w:val="32"/>
          <w:szCs w:val="32"/>
        </w:rPr>
        <w:t>电票</w:t>
      </w:r>
      <w:r>
        <w:rPr>
          <w:rFonts w:ascii="仿宋" w:hAnsi="仿宋" w:eastAsia="仿宋" w:cs="仿宋"/>
          <w:bCs/>
          <w:sz w:val="32"/>
          <w:szCs w:val="32"/>
          <w:lang w:eastAsia="zh-Hans"/>
        </w:rPr>
        <w:t>。收款人未签收的</w:t>
      </w:r>
      <w:r>
        <w:rPr>
          <w:rFonts w:hint="eastAsia" w:ascii="仿宋" w:hAnsi="仿宋" w:eastAsia="仿宋" w:cs="仿宋"/>
          <w:bCs/>
          <w:sz w:val="32"/>
          <w:szCs w:val="32"/>
        </w:rPr>
        <w:t>电票</w:t>
      </w:r>
      <w:r>
        <w:rPr>
          <w:rFonts w:ascii="仿宋" w:hAnsi="仿宋" w:eastAsia="仿宋" w:cs="仿宋"/>
          <w:bCs/>
          <w:sz w:val="32"/>
          <w:szCs w:val="32"/>
          <w:lang w:eastAsia="zh-Hans"/>
        </w:rPr>
        <w:t>不计入承兑人的承兑余额内，自收款人签收日起计入承兑余额内。</w:t>
      </w:r>
    </w:p>
    <w:p>
      <w:pPr>
        <w:spacing w:line="590" w:lineRule="exact"/>
        <w:ind w:firstLine="640" w:firstLineChars="200"/>
        <w:rPr>
          <w:rFonts w:ascii="仿宋" w:hAnsi="仿宋" w:eastAsia="仿宋" w:cs="仿宋"/>
          <w:bCs/>
          <w:sz w:val="32"/>
          <w:szCs w:val="32"/>
          <w:lang w:eastAsia="zh-Hans"/>
        </w:rPr>
      </w:pPr>
      <w:r>
        <w:rPr>
          <w:rFonts w:hint="eastAsia" w:ascii="仿宋" w:hAnsi="仿宋" w:eastAsia="仿宋" w:cs="仿宋"/>
          <w:bCs/>
          <w:sz w:val="32"/>
          <w:szCs w:val="32"/>
        </w:rPr>
        <w:t>3.</w:t>
      </w:r>
      <w:r>
        <w:rPr>
          <w:rFonts w:ascii="仿宋" w:hAnsi="仿宋" w:eastAsia="仿宋" w:cs="仿宋"/>
          <w:bCs/>
          <w:sz w:val="32"/>
          <w:szCs w:val="32"/>
          <w:lang w:eastAsia="zh-Hans"/>
        </w:rPr>
        <w:t>累计逾期发生额是指截至披露日上一月月末，近5年内发生过逾期的全部</w:t>
      </w:r>
      <w:r>
        <w:rPr>
          <w:rFonts w:hint="eastAsia" w:ascii="仿宋" w:hAnsi="仿宋" w:eastAsia="仿宋" w:cs="仿宋"/>
          <w:bCs/>
          <w:sz w:val="32"/>
          <w:szCs w:val="32"/>
        </w:rPr>
        <w:t>电票</w:t>
      </w:r>
      <w:r>
        <w:rPr>
          <w:rFonts w:ascii="仿宋" w:hAnsi="仿宋" w:eastAsia="仿宋" w:cs="仿宋"/>
          <w:bCs/>
          <w:sz w:val="32"/>
          <w:szCs w:val="32"/>
          <w:lang w:eastAsia="zh-Hans"/>
        </w:rPr>
        <w:t>总金额。</w:t>
      </w:r>
    </w:p>
    <w:p>
      <w:pPr>
        <w:spacing w:line="590" w:lineRule="exact"/>
        <w:ind w:firstLine="640" w:firstLineChars="200"/>
        <w:rPr>
          <w:rFonts w:ascii="仿宋" w:hAnsi="仿宋" w:eastAsia="仿宋" w:cs="仿宋"/>
          <w:bCs/>
          <w:sz w:val="32"/>
          <w:szCs w:val="32"/>
          <w:lang w:eastAsia="zh-Hans"/>
        </w:rPr>
      </w:pPr>
      <w:r>
        <w:rPr>
          <w:rFonts w:hint="eastAsia" w:ascii="仿宋" w:hAnsi="仿宋" w:eastAsia="仿宋" w:cs="仿宋"/>
          <w:bCs/>
          <w:sz w:val="32"/>
          <w:szCs w:val="32"/>
        </w:rPr>
        <w:t>4.</w:t>
      </w:r>
      <w:r>
        <w:rPr>
          <w:rFonts w:ascii="仿宋" w:hAnsi="仿宋" w:eastAsia="仿宋" w:cs="仿宋"/>
          <w:bCs/>
          <w:sz w:val="32"/>
          <w:szCs w:val="32"/>
          <w:lang w:eastAsia="zh-Hans"/>
        </w:rPr>
        <w:t>逾期余额是指截至披露日上一月月末，承兑人已逾期但未结清的</w:t>
      </w:r>
      <w:r>
        <w:rPr>
          <w:rFonts w:hint="eastAsia" w:ascii="仿宋" w:hAnsi="仿宋" w:eastAsia="仿宋" w:cs="仿宋"/>
          <w:bCs/>
          <w:sz w:val="32"/>
          <w:szCs w:val="32"/>
        </w:rPr>
        <w:t>电票</w:t>
      </w:r>
      <w:r>
        <w:rPr>
          <w:rFonts w:ascii="仿宋" w:hAnsi="仿宋" w:eastAsia="仿宋" w:cs="仿宋"/>
          <w:bCs/>
          <w:sz w:val="32"/>
          <w:szCs w:val="32"/>
          <w:lang w:eastAsia="zh-Hans"/>
        </w:rPr>
        <w:t>总金额。</w:t>
      </w:r>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[业务流程]</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承兑人应当在每月前10日内，披露截至上月末的票据承兑信用信息。票据承兑信用信息披露应当至少包含以下内容：</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1.累计承兑发生额；</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2.承兑余额；</w:t>
      </w:r>
    </w:p>
    <w:p>
      <w:pPr>
        <w:spacing w:line="590" w:lineRule="exact"/>
        <w:ind w:firstLine="640" w:firstLineChars="200"/>
        <w:rPr>
          <w:rFonts w:ascii="仿宋" w:hAnsi="仿宋" w:eastAsia="仿宋" w:cs="仿宋"/>
          <w:bCs/>
          <w:sz w:val="32"/>
          <w:szCs w:val="32"/>
        </w:rPr>
      </w:pPr>
      <w:r>
        <w:rPr>
          <w:rFonts w:hint="eastAsia" w:ascii="仿宋" w:hAnsi="仿宋" w:eastAsia="仿宋" w:cs="仿宋"/>
          <w:bCs/>
          <w:sz w:val="32"/>
          <w:szCs w:val="32"/>
        </w:rPr>
        <w:t>3.累计逾期发生额；</w:t>
      </w:r>
    </w:p>
    <w:p>
      <w:pPr>
        <w:spacing w:line="590" w:lineRule="exact"/>
        <w:ind w:firstLine="640" w:firstLineChars="200"/>
        <w:rPr>
          <w:rFonts w:ascii="仿宋" w:hAnsi="仿宋" w:eastAsia="仿宋" w:cs="仿宋"/>
          <w:sz w:val="32"/>
          <w:szCs w:val="32"/>
        </w:rPr>
      </w:pPr>
      <w:r>
        <w:rPr>
          <w:rFonts w:hint="eastAsia" w:ascii="仿宋" w:hAnsi="仿宋" w:eastAsia="仿宋" w:cs="仿宋"/>
          <w:bCs/>
          <w:sz w:val="32"/>
          <w:szCs w:val="32"/>
        </w:rPr>
        <w:t>4.逾期余额。</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466" w:name="_Toc1109"/>
      <w:bookmarkStart w:id="2467" w:name="_Toc7193"/>
      <w:bookmarkStart w:id="2468" w:name="_Toc6987"/>
      <w:bookmarkStart w:id="2469" w:name="_Toc3471"/>
      <w:bookmarkStart w:id="2470" w:name="_Toc3926"/>
      <w:bookmarkStart w:id="2471" w:name="_Toc2073"/>
      <w:bookmarkStart w:id="2472" w:name="_Toc31669"/>
      <w:bookmarkStart w:id="2473" w:name="_Toc29676"/>
      <w:bookmarkStart w:id="2474" w:name="_Toc1094803599"/>
      <w:bookmarkStart w:id="2475" w:name="_Toc23444"/>
      <w:bookmarkStart w:id="2476" w:name="_Toc17222"/>
      <w:bookmarkStart w:id="2477" w:name="_Toc20803"/>
      <w:bookmarkStart w:id="2478" w:name="_Toc18111"/>
      <w:bookmarkStart w:id="2479" w:name="_Toc17332"/>
      <w:bookmarkStart w:id="2480" w:name="_Toc10634"/>
      <w:bookmarkStart w:id="2481" w:name="_Toc25819"/>
      <w:bookmarkStart w:id="2482" w:name="_Toc13141"/>
      <w:r>
        <w:rPr>
          <w:rFonts w:hint="eastAsia" w:ascii="仿宋" w:hAnsi="仿宋" w:eastAsia="仿宋" w:cs="仿宋"/>
          <w:b/>
          <w:sz w:val="32"/>
          <w:szCs w:val="32"/>
        </w:rPr>
        <w:t>10.1.3 系统自动披露</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承兑人可选择设置系统自动披露承兑信息或承兑信用信息，在成功设置自动披露后，系统会从设置成功之日起，在每日日终将当日新增的推送数据自动披露，设置成功之前推送的历史数据不会自动披露。</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1"/>
        <w:rPr>
          <w:rFonts w:ascii="仿宋" w:hAnsi="仿宋" w:eastAsia="仿宋" w:cs="仿宋"/>
          <w:b/>
          <w:sz w:val="32"/>
          <w:szCs w:val="32"/>
        </w:rPr>
      </w:pPr>
      <w:bookmarkStart w:id="2483" w:name="_Toc20038"/>
      <w:bookmarkStart w:id="2484" w:name="_Toc680"/>
      <w:bookmarkStart w:id="2485" w:name="_Toc1505410573"/>
      <w:bookmarkStart w:id="2486" w:name="_Toc13409"/>
      <w:bookmarkStart w:id="2487" w:name="_Toc10659"/>
      <w:bookmarkStart w:id="2488" w:name="_Toc11074"/>
      <w:bookmarkStart w:id="2489" w:name="_Toc31236"/>
      <w:bookmarkStart w:id="2490" w:name="_Toc30369"/>
      <w:bookmarkStart w:id="2491" w:name="_Toc27904"/>
      <w:bookmarkStart w:id="2492" w:name="_Toc53"/>
      <w:bookmarkStart w:id="2493" w:name="_Toc14447"/>
      <w:bookmarkStart w:id="2494" w:name="_Toc31832"/>
      <w:bookmarkStart w:id="2495" w:name="_Toc28428"/>
      <w:bookmarkStart w:id="2496" w:name="_Toc29575"/>
      <w:bookmarkStart w:id="2497" w:name="_Toc5510"/>
      <w:bookmarkStart w:id="2498" w:name="_Toc5782"/>
      <w:bookmarkStart w:id="2499" w:name="_Toc4712"/>
      <w:r>
        <w:rPr>
          <w:rFonts w:hint="eastAsia" w:ascii="仿宋" w:hAnsi="仿宋" w:eastAsia="仿宋" w:cs="仿宋"/>
          <w:b/>
          <w:sz w:val="32"/>
          <w:szCs w:val="32"/>
        </w:rPr>
        <w:t>10.2 披露查询</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社会公众可查询已披露的票据承兑信息和承兑信用信息。</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500" w:name="_Toc27914"/>
      <w:bookmarkStart w:id="2501" w:name="_Toc20873"/>
      <w:bookmarkStart w:id="2502" w:name="_Toc6555"/>
      <w:bookmarkStart w:id="2503" w:name="_Toc5059"/>
      <w:bookmarkStart w:id="2504" w:name="_Toc18205"/>
      <w:bookmarkStart w:id="2505" w:name="_Toc12628"/>
      <w:bookmarkStart w:id="2506" w:name="_Toc28437"/>
      <w:bookmarkStart w:id="2507" w:name="_Toc25522"/>
      <w:bookmarkStart w:id="2508" w:name="_Toc1940"/>
      <w:bookmarkStart w:id="2509" w:name="_Toc5084"/>
      <w:bookmarkStart w:id="2510" w:name="_Toc7592"/>
      <w:bookmarkStart w:id="2511" w:name="_Toc17467"/>
      <w:bookmarkStart w:id="2512" w:name="_Toc1743968493"/>
      <w:bookmarkStart w:id="2513" w:name="_Toc883"/>
      <w:bookmarkStart w:id="2514" w:name="_Toc31891"/>
      <w:bookmarkStart w:id="2515" w:name="_Toc1712"/>
      <w:bookmarkStart w:id="2516" w:name="_Toc24087"/>
      <w:r>
        <w:rPr>
          <w:rFonts w:hint="eastAsia" w:ascii="仿宋" w:hAnsi="仿宋" w:eastAsia="仿宋" w:cs="仿宋"/>
          <w:b/>
          <w:sz w:val="32"/>
          <w:szCs w:val="32"/>
        </w:rPr>
        <w:t>10.2.1 票据承兑信息披露查询</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社会公众进入票据承兑信息披露查询页面，输入票据（包）号码查询已披露的票据承兑信息。查询到票据承兑信息后，可点击详情页面的“打印”按钮打印查询结果。</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517" w:name="_Toc21754"/>
      <w:bookmarkStart w:id="2518" w:name="_Toc13589"/>
      <w:bookmarkStart w:id="2519" w:name="_Toc19003"/>
      <w:bookmarkStart w:id="2520" w:name="_Toc23882"/>
      <w:bookmarkStart w:id="2521" w:name="_Toc27264"/>
      <w:bookmarkStart w:id="2522" w:name="_Toc23849"/>
      <w:bookmarkStart w:id="2523" w:name="_Toc11254"/>
      <w:bookmarkStart w:id="2524" w:name="_Toc30517"/>
      <w:bookmarkStart w:id="2525" w:name="_Toc242424395"/>
      <w:bookmarkStart w:id="2526" w:name="_Toc28980"/>
      <w:bookmarkStart w:id="2527" w:name="_Toc11135"/>
      <w:bookmarkStart w:id="2528" w:name="_Toc27391"/>
      <w:bookmarkStart w:id="2529" w:name="_Toc21978"/>
      <w:bookmarkStart w:id="2530" w:name="_Toc28327"/>
      <w:bookmarkStart w:id="2531" w:name="_Toc9198"/>
      <w:bookmarkStart w:id="2532" w:name="_Toc686"/>
      <w:bookmarkStart w:id="2533" w:name="_Toc12256"/>
      <w:r>
        <w:rPr>
          <w:rFonts w:hint="eastAsia" w:ascii="仿宋" w:hAnsi="仿宋" w:eastAsia="仿宋" w:cs="仿宋"/>
          <w:b/>
          <w:sz w:val="32"/>
          <w:szCs w:val="32"/>
        </w:rPr>
        <w:t>10.2.2 票据承兑信用信息披露查询</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社会公众进入票据承兑信息披露查询页面，输入披露信息时点日期和承兑人名称查询已披露的票据承兑信用信息。查询到票据承兑信息后，可点击详情页面的“打印”按钮打印查询结果。</w:t>
      </w:r>
    </w:p>
    <w:p>
      <w:pPr>
        <w:spacing w:line="590" w:lineRule="exact"/>
        <w:ind w:firstLine="640" w:firstLineChars="200"/>
        <w:rPr>
          <w:rFonts w:ascii="仿宋" w:hAnsi="仿宋" w:eastAsia="仿宋" w:cs="仿宋"/>
          <w:sz w:val="32"/>
          <w:szCs w:val="32"/>
        </w:rPr>
      </w:pPr>
    </w:p>
    <w:p>
      <w:pPr>
        <w:spacing w:line="590" w:lineRule="exact"/>
        <w:ind w:firstLine="643" w:firstLineChars="200"/>
        <w:outlineLvl w:val="2"/>
        <w:rPr>
          <w:rFonts w:ascii="仿宋" w:hAnsi="仿宋" w:eastAsia="仿宋" w:cs="仿宋"/>
          <w:b/>
          <w:sz w:val="32"/>
          <w:szCs w:val="32"/>
        </w:rPr>
      </w:pPr>
      <w:bookmarkStart w:id="2534" w:name="_Toc24546"/>
      <w:bookmarkStart w:id="2535" w:name="_Toc18096"/>
      <w:bookmarkStart w:id="2536" w:name="_Toc1512"/>
      <w:bookmarkStart w:id="2537" w:name="_Toc30221"/>
      <w:bookmarkStart w:id="2538" w:name="_Toc2024"/>
      <w:bookmarkStart w:id="2539" w:name="_Toc27824"/>
      <w:bookmarkStart w:id="2540" w:name="_Toc15271"/>
      <w:bookmarkStart w:id="2541" w:name="_Toc5884"/>
      <w:bookmarkStart w:id="2542" w:name="_Toc15343"/>
      <w:bookmarkStart w:id="2543" w:name="_Toc29272"/>
      <w:bookmarkStart w:id="2544" w:name="_Toc31012"/>
      <w:bookmarkStart w:id="2545" w:name="_Toc1681671714"/>
      <w:bookmarkStart w:id="2546" w:name="_Toc8507"/>
      <w:bookmarkStart w:id="2547" w:name="_Toc12864"/>
      <w:bookmarkStart w:id="2548" w:name="_Toc31294"/>
      <w:bookmarkStart w:id="2549" w:name="_Toc32730"/>
      <w:bookmarkStart w:id="2550" w:name="_Toc15462"/>
      <w:r>
        <w:rPr>
          <w:rFonts w:hint="eastAsia" w:ascii="仿宋" w:hAnsi="仿宋" w:eastAsia="仿宋" w:cs="仿宋"/>
          <w:b/>
          <w:sz w:val="32"/>
          <w:szCs w:val="32"/>
        </w:rPr>
        <w:t>10.2.3 金融机构批量查询票据承兑信息</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已注册并开通查询接口的银行和财务公司可批量查询已披露的票据承兑信息。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银行和财务公司进入承兑信息批量查询页面，点击“模板导出”下载查询模板，在模板内填写需要查询的票据（包）号码，点击“批量上传”，选择包含拟查询票据承兑信息票据（包）号码的文件进行上传。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上传成功后，点击“批量查询”查询票据承兑信息，查询结果在下载文件中展示；点击“批量打印”，可将查询结果的打印文件打包下载，金融机构自行打印。</w:t>
      </w:r>
    </w:p>
    <w:p>
      <w:pPr>
        <w:spacing w:line="590" w:lineRule="exact"/>
        <w:ind w:firstLine="0" w:firstLineChars="200"/>
        <w:rPr>
          <w:rFonts w:hint="eastAsia" w:ascii="仿宋" w:hAnsi="仿宋"/>
          <w:color w:val="000000"/>
          <w:w w:val="0"/>
          <w:kern w:val="0"/>
          <w:sz w:val="32"/>
          <w:u w:color="000000"/>
          <w:shd w:val="clear" w:color="000000" w:fill="000000"/>
        </w:rPr>
      </w:pPr>
    </w:p>
    <w:p>
      <w:pPr>
        <w:spacing w:line="590" w:lineRule="exact"/>
        <w:ind w:firstLine="643" w:firstLineChars="200"/>
        <w:outlineLvl w:val="1"/>
        <w:rPr>
          <w:rFonts w:ascii="仿宋" w:hAnsi="仿宋" w:eastAsia="仿宋" w:cs="仿宋"/>
          <w:b/>
          <w:sz w:val="32"/>
          <w:szCs w:val="32"/>
        </w:rPr>
      </w:pPr>
      <w:bookmarkStart w:id="2551" w:name="_Toc17868"/>
      <w:bookmarkStart w:id="2552" w:name="_Toc26253"/>
      <w:bookmarkStart w:id="2553" w:name="_Toc24257"/>
      <w:bookmarkStart w:id="2554" w:name="_Toc19767"/>
      <w:bookmarkStart w:id="2555" w:name="_Toc5902"/>
      <w:bookmarkStart w:id="2556" w:name="_Toc26046"/>
      <w:bookmarkStart w:id="2557" w:name="_Toc6416"/>
      <w:bookmarkStart w:id="2558" w:name="_Toc6319"/>
      <w:bookmarkStart w:id="2559" w:name="_Toc28717"/>
      <w:bookmarkStart w:id="2560" w:name="_Toc5965"/>
      <w:bookmarkStart w:id="2561" w:name="_Toc3759"/>
      <w:bookmarkStart w:id="2562" w:name="_Toc11427"/>
      <w:bookmarkStart w:id="2563" w:name="_Toc16489"/>
      <w:bookmarkStart w:id="2564" w:name="_Toc13856"/>
      <w:bookmarkStart w:id="2565" w:name="_Toc809939378"/>
      <w:bookmarkStart w:id="2566" w:name="_Toc5079"/>
      <w:bookmarkStart w:id="2567" w:name="_Toc3426"/>
      <w:r>
        <w:rPr>
          <w:rFonts w:hint="eastAsia" w:ascii="仿宋" w:hAnsi="仿宋" w:eastAsia="仿宋" w:cs="仿宋"/>
          <w:b/>
          <w:sz w:val="32"/>
          <w:szCs w:val="32"/>
        </w:rPr>
        <w:t>10.3 平台用户信息核对与修改</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[业务概述]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用户信息与平台信息不一致的，用户可向票交所申请核对或修改信息。</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[业务规则]</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1.用户电子邮箱变更。平台用户登记电子邮箱无法登录或无法办理相关业务的；</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2.用户承兑信用信息有异议的。平台每日向用户推送承兑信用信息，包括累计承兑发生额、承兑余额、累计逾期发生额、逾期余额；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平台用户对票交所推送的逾期信息有异议的，可向票交所申请核对。对于因票据业务系统原因、节假日规则不一致、不可抗力等属于非自身原因导致的逾期信息，可在相关原因消失后向票交所申请修正。</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3.用户已披露信息有异议的。用户依据平台推送的信息操作披露，对该信息有异议；</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4.平台比对结果有异议的。用户披露信息经平台比对与系统信息不符的，用户有证据证明披露信息正确。</w:t>
      </w:r>
    </w:p>
    <w:p>
      <w:pPr>
        <w:spacing w:line="59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[业务流程]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rPr>
        <w:fldChar w:fldCharType="begin"/>
      </w:r>
      <w:r>
        <w:rPr>
          <w:rFonts w:hint="eastAsia" w:ascii="仿宋" w:hAnsi="仿宋" w:eastAsia="仿宋" w:cs="仿宋"/>
          <w:sz w:val="32"/>
        </w:rPr>
        <w:instrText xml:space="preserve">用户信息错误需要修改的，应当向票交所提交书面函件。函件内容包括错误信息内容，并提供正确信息和相关证据。函件扫描件应当通过用户在平台预留电子邮箱发送至票交所信息披露邮箱（ids@shcpe.com.cn），原件邮寄票交所。" </w:instrText>
      </w:r>
      <w:r>
        <w:rPr>
          <w:rFonts w:hint="eastAsia" w:ascii="仿宋" w:hAnsi="仿宋" w:eastAsia="仿宋" w:cs="仿宋"/>
          <w:sz w:val="32"/>
        </w:rPr>
        <w:fldChar w:fldCharType="separate"/>
      </w:r>
      <w:r>
        <w:rPr>
          <w:rStyle w:val="23"/>
          <w:rFonts w:hint="eastAsia" w:ascii="仿宋" w:hAnsi="仿宋" w:eastAsia="仿宋" w:cs="仿宋"/>
          <w:color w:val="auto"/>
          <w:sz w:val="32"/>
          <w:u w:val="none"/>
        </w:rPr>
        <w:t>用户信息错误需要修改的，应当向票交所提交书面函件。函件内容包括错误信息内容，并提供正确信息和相关证据。函件扫描件应当通过用户在平台预留电子邮箱发送至票交所信息披露邮箱ids@shcpe.com.cn，原件邮寄票交所。</w:t>
      </w:r>
      <w:r>
        <w:rPr>
          <w:rFonts w:hint="eastAsia" w:ascii="仿宋" w:hAnsi="仿宋" w:eastAsia="仿宋" w:cs="仿宋"/>
          <w:sz w:val="32"/>
        </w:rPr>
        <w:fldChar w:fldCharType="end"/>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【邮寄地址】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上海票据交易所：上海市黄浦区半淞园路377号A区，上海票据交易所（场务），021-23139999。</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2.用户申请修改电子邮箱的，函件必须由开户行验印，函件扫描件可通过用户其他电子邮箱发送。</w:t>
      </w:r>
    </w:p>
    <w:p>
      <w:pPr>
        <w:spacing w:line="59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br w:type="page"/>
      </w:r>
    </w:p>
    <w:p>
      <w:pPr>
        <w:numPr>
          <w:ilvl w:val="255"/>
          <w:numId w:val="0"/>
        </w:numPr>
        <w:spacing w:line="590" w:lineRule="exact"/>
        <w:jc w:val="center"/>
        <w:outlineLvl w:val="0"/>
        <w:rPr>
          <w:rFonts w:ascii="仿宋" w:hAnsi="仿宋" w:eastAsia="仿宋" w:cs="仿宋"/>
          <w:b/>
          <w:bCs/>
          <w:kern w:val="44"/>
          <w:sz w:val="40"/>
          <w:szCs w:val="40"/>
        </w:rPr>
      </w:pPr>
      <w:bookmarkStart w:id="2568" w:name="_Toc31058"/>
      <w:bookmarkStart w:id="2569" w:name="_Toc16524"/>
      <w:bookmarkStart w:id="2570" w:name="_Toc7784"/>
      <w:bookmarkStart w:id="2571" w:name="_Toc7414"/>
      <w:bookmarkStart w:id="2572" w:name="_Toc23646"/>
      <w:bookmarkStart w:id="2573" w:name="_Toc220722953"/>
      <w:bookmarkStart w:id="2574" w:name="_Toc3068"/>
      <w:bookmarkStart w:id="2575" w:name="_Toc8952"/>
      <w:bookmarkStart w:id="2576" w:name="_Toc18324"/>
      <w:bookmarkStart w:id="2577" w:name="_Toc4021"/>
      <w:bookmarkStart w:id="2578" w:name="_Toc30518"/>
      <w:bookmarkStart w:id="2579" w:name="_Toc21057"/>
      <w:bookmarkStart w:id="2580" w:name="_Toc20527"/>
      <w:bookmarkStart w:id="2581" w:name="_Toc15917"/>
      <w:bookmarkStart w:id="2582" w:name="_Toc28439"/>
      <w:bookmarkStart w:id="2583" w:name="_Toc22223"/>
      <w:bookmarkStart w:id="2584" w:name="_Toc21869"/>
      <w:r>
        <w:rPr>
          <w:rFonts w:hint="eastAsia" w:ascii="仿宋" w:hAnsi="仿宋" w:eastAsia="仿宋" w:cs="仿宋"/>
          <w:b/>
          <w:bCs/>
          <w:kern w:val="44"/>
          <w:sz w:val="40"/>
          <w:szCs w:val="40"/>
        </w:rPr>
        <w:t>附</w:t>
      </w:r>
      <w:r>
        <w:rPr>
          <w:rFonts w:hint="eastAsia" w:ascii="仿宋" w:hAnsi="仿宋" w:eastAsia="仿宋" w:cs="仿宋"/>
          <w:b/>
          <w:bCs/>
          <w:kern w:val="44"/>
          <w:sz w:val="40"/>
          <w:szCs w:val="40"/>
          <w:lang w:val="en-US" w:eastAsia="zh-CN"/>
        </w:rPr>
        <w:t xml:space="preserve">  </w:t>
      </w:r>
      <w:r>
        <w:rPr>
          <w:rFonts w:hint="eastAsia" w:ascii="仿宋" w:hAnsi="仿宋" w:eastAsia="仿宋" w:cs="仿宋"/>
          <w:b/>
          <w:bCs/>
          <w:kern w:val="44"/>
          <w:sz w:val="40"/>
          <w:szCs w:val="40"/>
        </w:rPr>
        <w:t>件</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pPr>
        <w:ind w:firstLine="640" w:firstLineChars="200"/>
        <w:rPr>
          <w:rFonts w:ascii="仿宋" w:hAnsi="仿宋" w:eastAsia="仿宋" w:cs="仿宋"/>
          <w:sz w:val="32"/>
          <w:szCs w:val="32"/>
        </w:rPr>
      </w:pPr>
    </w:p>
    <w:p>
      <w:pPr>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1.票据业务承诺函</w:t>
      </w:r>
    </w:p>
    <w:p>
      <w:pPr>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2.票据包信息展示格式标准说明</w:t>
      </w:r>
    </w:p>
    <w:p>
      <w:pPr>
        <w:tabs>
          <w:tab w:val="left" w:pos="655"/>
        </w:tabs>
        <w:spacing w:line="560" w:lineRule="exact"/>
        <w:ind w:firstLine="960" w:firstLineChars="300"/>
        <w:rPr>
          <w:rFonts w:ascii="仿宋" w:hAnsi="仿宋" w:eastAsia="仿宋" w:cs="仿宋"/>
          <w:strike/>
          <w:sz w:val="32"/>
          <w:szCs w:val="32"/>
        </w:rPr>
      </w:pPr>
      <w:r>
        <w:rPr>
          <w:rFonts w:hint="eastAsia" w:ascii="仿宋" w:hAnsi="仿宋" w:eastAsia="仿宋" w:cs="仿宋"/>
          <w:sz w:val="32"/>
          <w:szCs w:val="32"/>
        </w:rPr>
        <w:t>3.上海票据交易所参与者</w:t>
      </w:r>
      <w:r>
        <w:rPr>
          <w:rFonts w:hint="eastAsia" w:ascii="仿宋" w:hAnsi="仿宋" w:eastAsia="仿宋" w:cs="仿宋"/>
          <w:sz w:val="32"/>
          <w:szCs w:val="32"/>
          <w:lang w:eastAsia="zh-CN"/>
        </w:rPr>
        <w:t>加入</w:t>
      </w:r>
      <w:r>
        <w:rPr>
          <w:rFonts w:hint="eastAsia" w:ascii="仿宋" w:hAnsi="仿宋" w:eastAsia="仿宋" w:cs="仿宋"/>
          <w:sz w:val="32"/>
          <w:szCs w:val="32"/>
        </w:rPr>
        <w:t>申请表</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4.未使用基本存款账户情况说明</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5.法人机构主体变更申请书</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6.业务承接申请书</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7.人民银行清算账户使用授权书</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8.上海票据交易所参与者变更申请表</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9.上海票据交易所参与者退出申请表</w:t>
      </w:r>
    </w:p>
    <w:p>
      <w:pPr>
        <w:tabs>
          <w:tab w:val="left" w:pos="655"/>
        </w:tabs>
        <w:spacing w:line="5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10.供应链票据业务上线申报表</w:t>
      </w:r>
    </w:p>
    <w:p>
      <w:pPr>
        <w:tabs>
          <w:tab w:val="left" w:pos="655"/>
        </w:tabs>
        <w:spacing w:line="560" w:lineRule="exact"/>
        <w:ind w:firstLine="960" w:firstLineChars="3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11.“票付通”业务上线申报表</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2</w:t>
      </w:r>
      <w:r>
        <w:rPr>
          <w:rFonts w:hint="eastAsia" w:ascii="仿宋" w:hAnsi="仿宋" w:eastAsia="仿宋" w:cs="仿宋"/>
          <w:sz w:val="32"/>
          <w:szCs w:val="32"/>
        </w:rPr>
        <w:t>.贴现通业务授权承诺书（线上贴现模板）</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3</w:t>
      </w:r>
      <w:r>
        <w:rPr>
          <w:rFonts w:hint="eastAsia" w:ascii="仿宋" w:hAnsi="仿宋" w:eastAsia="仿宋" w:cs="仿宋"/>
          <w:sz w:val="32"/>
          <w:szCs w:val="32"/>
        </w:rPr>
        <w:t>.线上贴现授权承诺书（供应链平台模板）</w:t>
      </w:r>
    </w:p>
    <w:p>
      <w:pPr>
        <w:numPr>
          <w:ilvl w:val="255"/>
          <w:numId w:val="0"/>
        </w:num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ascii="仿宋" w:hAnsi="仿宋" w:eastAsia="仿宋" w:cs="仿宋"/>
          <w:sz w:val="32"/>
          <w:szCs w:val="32"/>
        </w:rPr>
        <w:t>线上贴现意向成交单样式</w:t>
      </w:r>
    </w:p>
    <w:p>
      <w:pPr>
        <w:numPr>
          <w:ilvl w:val="255"/>
          <w:numId w:val="0"/>
        </w:num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w:t>
      </w:r>
      <w:r>
        <w:rPr>
          <w:rFonts w:ascii="仿宋" w:hAnsi="仿宋" w:eastAsia="仿宋" w:cs="仿宋"/>
          <w:sz w:val="32"/>
          <w:szCs w:val="32"/>
        </w:rPr>
        <w:t>线上贴现结算交割单样式</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rPr>
        <w:t>.</w:t>
      </w:r>
      <w:r>
        <w:rPr>
          <w:rFonts w:hint="eastAsia" w:ascii="仿宋" w:hAnsi="仿宋" w:eastAsia="仿宋" w:cs="仿宋"/>
          <w:sz w:val="32"/>
          <w:szCs w:val="32"/>
          <w:lang w:bidi="ar"/>
        </w:rPr>
        <w:t>交易要素及相关解释说明</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.交易成交单模板</w:t>
      </w:r>
    </w:p>
    <w:p>
      <w:pPr>
        <w:tabs>
          <w:tab w:val="left" w:pos="655"/>
        </w:tabs>
        <w:spacing w:line="560" w:lineRule="exact"/>
        <w:ind w:firstLine="939" w:firstLineChars="300"/>
        <w:rPr>
          <w:rFonts w:ascii="仿宋" w:hAnsi="仿宋" w:eastAsia="仿宋" w:cs="仿宋"/>
          <w:w w:val="98"/>
          <w:sz w:val="32"/>
          <w:szCs w:val="32"/>
        </w:rPr>
      </w:pPr>
      <w:r>
        <w:rPr>
          <w:rFonts w:hint="eastAsia" w:ascii="仿宋" w:hAnsi="仿宋" w:eastAsia="仿宋" w:cs="仿宋"/>
          <w:w w:val="98"/>
          <w:sz w:val="32"/>
          <w:szCs w:val="32"/>
        </w:rPr>
        <w:t>1</w:t>
      </w:r>
      <w:r>
        <w:rPr>
          <w:rFonts w:hint="eastAsia" w:ascii="仿宋" w:hAnsi="仿宋" w:eastAsia="仿宋" w:cs="仿宋"/>
          <w:w w:val="98"/>
          <w:sz w:val="32"/>
          <w:szCs w:val="32"/>
          <w:lang w:val="en-US" w:eastAsia="zh-CN"/>
        </w:rPr>
        <w:t>8</w:t>
      </w:r>
      <w:r>
        <w:rPr>
          <w:rFonts w:hint="eastAsia" w:ascii="仿宋" w:hAnsi="仿宋" w:eastAsia="仿宋" w:cs="仿宋"/>
          <w:w w:val="98"/>
          <w:sz w:val="32"/>
          <w:szCs w:val="32"/>
        </w:rPr>
        <w:t>.上海票据交易所直接参与者账户函证及查询申请表</w:t>
      </w:r>
    </w:p>
    <w:p>
      <w:pPr>
        <w:tabs>
          <w:tab w:val="left" w:pos="655"/>
        </w:tabs>
        <w:spacing w:line="560" w:lineRule="exact"/>
        <w:ind w:firstLine="960" w:firstLineChars="3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9</w:t>
      </w:r>
      <w:r>
        <w:rPr>
          <w:rFonts w:hint="eastAsia" w:ascii="仿宋" w:hAnsi="仿宋" w:eastAsia="仿宋" w:cs="仿宋"/>
          <w:sz w:val="32"/>
          <w:szCs w:val="32"/>
        </w:rPr>
        <w:t>.伪假票据应急服务申请书</w:t>
      </w:r>
    </w:p>
    <w:p>
      <w:pPr>
        <w:adjustRightInd w:val="0"/>
        <w:snapToGrid w:val="0"/>
        <w:textAlignment w:val="baseline"/>
        <w:rPr>
          <w:rFonts w:ascii="黑体" w:hAnsi="黑体" w:eastAsia="黑体" w:cs="Times New Roman"/>
          <w:color w:val="000000"/>
          <w:sz w:val="32"/>
          <w:szCs w:val="32"/>
        </w:rPr>
      </w:pPr>
      <w:bookmarkStart w:id="2585" w:name="_Toc957"/>
      <w:r>
        <w:rPr>
          <w:rFonts w:hint="eastAsia" w:ascii="黑体" w:hAnsi="黑体" w:eastAsia="黑体" w:cs="Times New Roman"/>
          <w:color w:val="000000"/>
          <w:sz w:val="32"/>
          <w:szCs w:val="32"/>
        </w:rPr>
        <w:br w:type="page"/>
      </w:r>
    </w:p>
    <w:p>
      <w:pPr>
        <w:pStyle w:val="3"/>
        <w:adjustRightInd w:val="0"/>
        <w:snapToGrid w:val="0"/>
        <w:spacing w:line="240" w:lineRule="auto"/>
        <w:textAlignment w:val="baseline"/>
        <w:rPr>
          <w:rFonts w:ascii="仿宋" w:hAnsi="仿宋" w:eastAsia="仿宋" w:cs="仿宋"/>
          <w:b w:val="0"/>
          <w:bCs w:val="0"/>
          <w:color w:val="000000"/>
        </w:rPr>
      </w:pPr>
      <w:bookmarkStart w:id="2586" w:name="_Toc3377"/>
      <w:bookmarkStart w:id="2587" w:name="_Toc18758"/>
      <w:bookmarkStart w:id="2588" w:name="_Toc17252"/>
      <w:bookmarkStart w:id="2589" w:name="_Toc29387"/>
      <w:bookmarkStart w:id="2590" w:name="_Toc3204"/>
      <w:bookmarkStart w:id="2591" w:name="_Toc1394"/>
      <w:bookmarkStart w:id="2592" w:name="_Toc2914"/>
      <w:bookmarkStart w:id="2593" w:name="_Toc406517250"/>
      <w:bookmarkStart w:id="2594" w:name="_Toc19719"/>
      <w:r>
        <w:rPr>
          <w:rFonts w:hint="eastAsia" w:ascii="仿宋" w:hAnsi="仿宋" w:eastAsia="仿宋" w:cs="仿宋"/>
          <w:b w:val="0"/>
          <w:bCs w:val="0"/>
          <w:color w:val="000000"/>
        </w:rPr>
        <w:t>附件1：</w:t>
      </w:r>
      <w:bookmarkEnd w:id="2586"/>
      <w:bookmarkEnd w:id="2587"/>
      <w:bookmarkEnd w:id="2588"/>
      <w:bookmarkEnd w:id="2589"/>
      <w:bookmarkEnd w:id="2590"/>
      <w:bookmarkEnd w:id="2591"/>
      <w:bookmarkEnd w:id="2592"/>
      <w:bookmarkEnd w:id="2593"/>
      <w:bookmarkEnd w:id="2594"/>
    </w:p>
    <w:p>
      <w:pPr>
        <w:spacing w:line="560" w:lineRule="exact"/>
        <w:jc w:val="center"/>
        <w:rPr>
          <w:rFonts w:ascii="黑体" w:hAnsi="黑体" w:eastAsia="黑体" w:cs="黑体"/>
          <w:color w:val="000000" w:themeColor="text1"/>
          <w:sz w:val="36"/>
          <w:szCs w:val="36"/>
          <w:lang w:eastAsia="zh-Hans"/>
          <w14:textFill>
            <w14:solidFill>
              <w14:schemeClr w14:val="tx1"/>
            </w14:solidFill>
          </w14:textFill>
        </w:rPr>
      </w:pPr>
      <w:r>
        <w:rPr>
          <w:rFonts w:hint="eastAsia" w:ascii="黑体" w:hAnsi="黑体" w:eastAsia="黑体" w:cs="黑体"/>
          <w:color w:val="000000" w:themeColor="text1"/>
          <w:sz w:val="36"/>
          <w:szCs w:val="36"/>
          <w:lang w:eastAsia="zh-Hans"/>
          <w14:textFill>
            <w14:solidFill>
              <w14:schemeClr w14:val="tx1"/>
            </w14:solidFill>
          </w14:textFill>
        </w:rPr>
        <w:t>票据业务承诺函</w:t>
      </w:r>
    </w:p>
    <w:p>
      <w:pPr>
        <w:spacing w:line="560" w:lineRule="exact"/>
        <w:ind w:firstLine="640"/>
        <w:rPr>
          <w:rFonts w:ascii="仿宋" w:hAnsi="仿宋" w:eastAsia="仿宋" w:cs="仿宋"/>
          <w:color w:val="000000" w:themeColor="text1"/>
          <w:sz w:val="32"/>
          <w:szCs w:val="32"/>
          <w:lang w:eastAsia="zh-Hans"/>
          <w14:textFill>
            <w14:solidFill>
              <w14:schemeClr w14:val="tx1"/>
            </w14:solidFill>
          </w14:textFill>
        </w:rPr>
      </w:pP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我</w:t>
      </w:r>
      <w:r>
        <w:rPr>
          <w:rFonts w:hint="eastAsia" w:ascii="仿宋" w:hAnsi="仿宋" w:eastAsia="仿宋" w:cs="仿宋"/>
          <w:color w:val="000000" w:themeColor="text1"/>
          <w:sz w:val="32"/>
          <w:szCs w:val="32"/>
          <w14:textFill>
            <w14:solidFill>
              <w14:schemeClr w14:val="tx1"/>
            </w14:solidFill>
          </w14:textFill>
        </w:rPr>
        <w:t>单位</w:t>
      </w:r>
      <w:r>
        <w:rPr>
          <w:rFonts w:hint="eastAsia" w:ascii="仿宋" w:hAnsi="仿宋" w:eastAsia="仿宋" w:cs="仿宋"/>
          <w:color w:val="000000" w:themeColor="text1"/>
          <w:sz w:val="32"/>
          <w:szCs w:val="32"/>
          <w:lang w:eastAsia="zh-Hans"/>
          <w14:textFill>
            <w14:solidFill>
              <w14:schemeClr w14:val="tx1"/>
            </w14:solidFill>
          </w14:textFill>
        </w:rPr>
        <w:t>作为票据业务当事人，为共同</w:t>
      </w:r>
      <w:r>
        <w:rPr>
          <w:rFonts w:hint="eastAsia" w:ascii="仿宋" w:hAnsi="仿宋" w:eastAsia="仿宋" w:cs="仿宋"/>
          <w:color w:val="000000" w:themeColor="text1"/>
          <w:sz w:val="32"/>
          <w:szCs w:val="32"/>
          <w14:textFill>
            <w14:solidFill>
              <w14:schemeClr w14:val="tx1"/>
            </w14:solidFill>
          </w14:textFill>
        </w:rPr>
        <w:t>维护票据市场秩序、提高业务办理效率</w:t>
      </w:r>
      <w:r>
        <w:rPr>
          <w:rFonts w:hint="eastAsia" w:ascii="仿宋" w:hAnsi="仿宋" w:eastAsia="仿宋" w:cs="仿宋"/>
          <w:color w:val="000000" w:themeColor="text1"/>
          <w:sz w:val="32"/>
          <w:szCs w:val="32"/>
          <w:lang w:eastAsia="zh-Hans"/>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现自愿向上海票据交易所（以下简称“票交所”）做出以下承诺：</w:t>
      </w:r>
    </w:p>
    <w:p>
      <w:pPr>
        <w:numPr>
          <w:ilvl w:val="0"/>
          <w:numId w:val="33"/>
        </w:num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严格遵守票据相关法律法规、中国人民银行发布的相关规范性文件和票交所业务规则等制度。</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票交所业务规则指</w:t>
      </w:r>
      <w:r>
        <w:rPr>
          <w:rFonts w:hint="eastAsia" w:ascii="仿宋" w:hAnsi="仿宋" w:eastAsia="仿宋" w:cs="仿宋"/>
          <w:b/>
          <w:bCs/>
          <w:color w:val="000000" w:themeColor="text1"/>
          <w:sz w:val="32"/>
          <w:szCs w:val="32"/>
          <w14:textFill>
            <w14:solidFill>
              <w14:schemeClr w14:val="tx1"/>
            </w14:solidFill>
          </w14:textFill>
        </w:rPr>
        <w:t>票交所已经发布的和日后不定期发布</w:t>
      </w:r>
      <w:r>
        <w:rPr>
          <w:rFonts w:hint="eastAsia" w:ascii="仿宋" w:hAnsi="仿宋" w:eastAsia="仿宋" w:cs="仿宋"/>
          <w:color w:val="000000" w:themeColor="text1"/>
          <w:sz w:val="32"/>
          <w:szCs w:val="32"/>
          <w14:textFill>
            <w14:solidFill>
              <w14:schemeClr w14:val="tx1"/>
            </w14:solidFill>
          </w14:textFill>
        </w:rPr>
        <w:t>的各类业务规则，包括但不限于规则细则、管理办法、操作规程、通知公告、业务指南、风险提示等。</w:t>
      </w:r>
    </w:p>
    <w:p>
      <w:pPr>
        <w:numPr>
          <w:ilvl w:val="0"/>
          <w:numId w:val="33"/>
        </w:num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充分了解办理票据业务可能存在的信用风险、操作风险等风险，承诺加强内部控制和风险管理。</w:t>
      </w:r>
    </w:p>
    <w:p>
      <w:pPr>
        <w:numPr>
          <w:ilvl w:val="255"/>
          <w:numId w:val="0"/>
        </w:num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三</w:t>
      </w:r>
      <w:r>
        <w:rPr>
          <w:rFonts w:hint="eastAsia" w:ascii="仿宋" w:hAnsi="仿宋" w:eastAsia="仿宋" w:cs="仿宋"/>
          <w:color w:val="000000" w:themeColor="text1"/>
          <w:sz w:val="32"/>
          <w:szCs w:val="32"/>
          <w14:textFill>
            <w14:solidFill>
              <w14:schemeClr w14:val="tx1"/>
            </w14:solidFill>
          </w14:textFill>
        </w:rPr>
        <w:t>、不利用票据从事违法活动，在办理票据业务过程中</w:t>
      </w:r>
      <w:r>
        <w:rPr>
          <w:rFonts w:hint="eastAsia" w:ascii="仿宋" w:hAnsi="仿宋" w:eastAsia="仿宋" w:cs="仿宋"/>
          <w:color w:val="000000" w:themeColor="text1"/>
          <w:sz w:val="32"/>
          <w:szCs w:val="32"/>
          <w:lang w:eastAsia="zh-Hans"/>
          <w14:textFill>
            <w14:solidFill>
              <w14:schemeClr w14:val="tx1"/>
            </w14:solidFill>
          </w14:textFill>
        </w:rPr>
        <w:t>不发生</w:t>
      </w:r>
      <w:r>
        <w:rPr>
          <w:rFonts w:hint="eastAsia" w:ascii="仿宋" w:hAnsi="仿宋" w:eastAsia="仿宋" w:cs="仿宋"/>
          <w:color w:val="000000" w:themeColor="text1"/>
          <w:sz w:val="32"/>
          <w:szCs w:val="32"/>
          <w14:textFill>
            <w14:solidFill>
              <w14:schemeClr w14:val="tx1"/>
            </w14:solidFill>
          </w14:textFill>
        </w:rPr>
        <w:t>欺诈、误导等不良行为，</w:t>
      </w:r>
      <w:r>
        <w:rPr>
          <w:rFonts w:hint="eastAsia" w:ascii="仿宋" w:hAnsi="仿宋" w:eastAsia="仿宋" w:cs="仿宋"/>
          <w:color w:val="000000" w:themeColor="text1"/>
          <w:sz w:val="32"/>
          <w:szCs w:val="32"/>
          <w:lang w:eastAsia="zh-Hans"/>
          <w14:textFill>
            <w14:solidFill>
              <w14:schemeClr w14:val="tx1"/>
            </w14:solidFill>
          </w14:textFill>
        </w:rPr>
        <w:t>不</w:t>
      </w:r>
      <w:r>
        <w:rPr>
          <w:rFonts w:hint="eastAsia" w:ascii="仿宋" w:hAnsi="仿宋" w:eastAsia="仿宋" w:cs="仿宋"/>
          <w:color w:val="000000" w:themeColor="text1"/>
          <w:sz w:val="32"/>
          <w:szCs w:val="32"/>
          <w14:textFill>
            <w14:solidFill>
              <w14:schemeClr w14:val="tx1"/>
            </w14:solidFill>
          </w14:textFill>
        </w:rPr>
        <w:t>损害他人合法权益。</w:t>
      </w:r>
    </w:p>
    <w:p>
      <w:pPr>
        <w:numPr>
          <w:ilvl w:val="255"/>
          <w:numId w:val="0"/>
        </w:num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四、</w:t>
      </w:r>
      <w:r>
        <w:rPr>
          <w:rFonts w:hint="eastAsia" w:ascii="仿宋" w:hAnsi="仿宋" w:eastAsia="仿宋" w:cs="仿宋"/>
          <w:color w:val="000000" w:themeColor="text1"/>
          <w:sz w:val="32"/>
          <w:szCs w:val="32"/>
          <w14:textFill>
            <w14:solidFill>
              <w14:schemeClr w14:val="tx1"/>
            </w14:solidFill>
          </w14:textFill>
        </w:rPr>
        <w:t>承诺办理票据业务提供的资料和信息均真实、完整、准确。</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五</w:t>
      </w:r>
      <w:r>
        <w:rPr>
          <w:rFonts w:hint="eastAsia" w:ascii="仿宋" w:hAnsi="仿宋" w:eastAsia="仿宋" w:cs="仿宋"/>
          <w:color w:val="000000" w:themeColor="text1"/>
          <w:sz w:val="32"/>
          <w:szCs w:val="32"/>
          <w14:textFill>
            <w14:solidFill>
              <w14:schemeClr w14:val="tx1"/>
            </w14:solidFill>
          </w14:textFill>
        </w:rPr>
        <w:t>、知晓并同意_____（接入机构名称，由接入机构自行填写）将</w:t>
      </w:r>
      <w:r>
        <w:rPr>
          <w:rFonts w:hint="eastAsia" w:ascii="仿宋" w:hAnsi="仿宋" w:eastAsia="仿宋" w:cs="仿宋"/>
          <w:color w:val="000000" w:themeColor="text1"/>
          <w:sz w:val="32"/>
          <w:szCs w:val="32"/>
          <w:lang w:eastAsia="zh-Hans"/>
          <w14:textFill>
            <w14:solidFill>
              <w14:schemeClr w14:val="tx1"/>
            </w14:solidFill>
          </w14:textFill>
        </w:rPr>
        <w:t>我</w:t>
      </w:r>
      <w:r>
        <w:rPr>
          <w:rFonts w:hint="eastAsia" w:ascii="仿宋" w:hAnsi="仿宋" w:eastAsia="仿宋" w:cs="仿宋"/>
          <w:color w:val="000000" w:themeColor="text1"/>
          <w:sz w:val="32"/>
          <w:szCs w:val="32"/>
          <w14:textFill>
            <w14:solidFill>
              <w14:schemeClr w14:val="tx1"/>
            </w14:solidFill>
          </w14:textFill>
        </w:rPr>
        <w:t>单位基本信息、用于办理票据业务的结算账户信息和联系</w:t>
      </w:r>
      <w:r>
        <w:rPr>
          <w:rFonts w:hint="eastAsia" w:ascii="仿宋" w:hAnsi="仿宋" w:eastAsia="仿宋" w:cs="仿宋"/>
          <w:color w:val="000000" w:themeColor="text1"/>
          <w:sz w:val="32"/>
          <w:szCs w:val="32"/>
          <w:lang w:eastAsia="zh-Hans"/>
          <w14:textFill>
            <w14:solidFill>
              <w14:schemeClr w14:val="tx1"/>
            </w14:solidFill>
          </w14:textFill>
        </w:rPr>
        <w:t>方式</w:t>
      </w:r>
      <w:r>
        <w:rPr>
          <w:rFonts w:hint="eastAsia" w:ascii="仿宋" w:hAnsi="仿宋" w:eastAsia="仿宋" w:cs="仿宋"/>
          <w:color w:val="000000" w:themeColor="text1"/>
          <w:sz w:val="32"/>
          <w:szCs w:val="32"/>
          <w14:textFill>
            <w14:solidFill>
              <w14:schemeClr w14:val="tx1"/>
            </w14:solidFill>
          </w14:textFill>
        </w:rPr>
        <w:t>等向票交所备案。</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六</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授权票交所依据业务规则进行提示付款、拒付应答等业务处理</w:t>
      </w:r>
      <w:r>
        <w:rPr>
          <w:rFonts w:hint="eastAsia" w:ascii="仿宋" w:hAnsi="仿宋" w:eastAsia="仿宋" w:cs="仿宋"/>
          <w:color w:val="000000" w:themeColor="text1"/>
          <w:sz w:val="32"/>
          <w:szCs w:val="32"/>
          <w14:textFill>
            <w14:solidFill>
              <w14:schemeClr w14:val="tx1"/>
            </w14:solidFill>
          </w14:textFill>
        </w:rPr>
        <w:t>。</w:t>
      </w:r>
    </w:p>
    <w:p>
      <w:pPr>
        <w:spacing w:line="590" w:lineRule="exact"/>
        <w:ind w:firstLine="640" w:firstLine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七</w:t>
      </w:r>
      <w:r>
        <w:rPr>
          <w:rFonts w:hint="eastAsia" w:ascii="仿宋" w:hAnsi="仿宋" w:eastAsia="仿宋" w:cs="仿宋"/>
          <w:bCs/>
          <w:color w:val="000000" w:themeColor="text1"/>
          <w:sz w:val="32"/>
          <w:szCs w:val="32"/>
          <w14:textFill>
            <w14:solidFill>
              <w14:schemeClr w14:val="tx1"/>
            </w14:solidFill>
          </w14:textFill>
        </w:rPr>
        <w:t>、充分认可</w:t>
      </w:r>
      <w:r>
        <w:rPr>
          <w:rFonts w:hint="eastAsia" w:ascii="仿宋" w:hAnsi="仿宋" w:eastAsia="仿宋" w:cs="仿宋"/>
          <w:color w:val="000000" w:themeColor="text1"/>
          <w:sz w:val="32"/>
          <w:szCs w:val="32"/>
          <w14:textFill>
            <w14:solidFill>
              <w14:schemeClr w14:val="tx1"/>
            </w14:solidFill>
          </w14:textFill>
        </w:rPr>
        <w:t>票交所有权对票据业务数据信息进行加工、整理和统计分析，并用于履行金融市场基础设施职责、综合管理、提供票据业务相关信息服务以及其他合法合规用途。</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八</w:t>
      </w:r>
      <w:r>
        <w:rPr>
          <w:rFonts w:hint="eastAsia" w:ascii="仿宋" w:hAnsi="仿宋" w:eastAsia="仿宋" w:cs="仿宋"/>
          <w:color w:val="000000" w:themeColor="text1"/>
          <w:sz w:val="32"/>
          <w:szCs w:val="32"/>
          <w14:textFill>
            <w14:solidFill>
              <w14:schemeClr w14:val="tx1"/>
            </w14:solidFill>
          </w14:textFill>
        </w:rPr>
        <w:t>、同意票交所在执行主管部门或有权机关要求的情况下，可暂停或终止提供相关服务。同时，承诺积极主动配合票交所为防控票据业务风险而采取的必要限制措施。</w:t>
      </w:r>
    </w:p>
    <w:p>
      <w:pPr>
        <w:spacing w:line="590" w:lineRule="exact"/>
        <w:ind w:firstLine="640"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Hans"/>
          <w14:textFill>
            <w14:solidFill>
              <w14:schemeClr w14:val="tx1"/>
            </w14:solidFill>
          </w14:textFill>
        </w:rPr>
        <w:t>九</w:t>
      </w:r>
      <w:r>
        <w:rPr>
          <w:rFonts w:hint="eastAsia" w:ascii="仿宋" w:hAnsi="仿宋" w:eastAsia="仿宋" w:cs="仿宋"/>
          <w:color w:val="000000" w:themeColor="text1"/>
          <w:sz w:val="32"/>
          <w:szCs w:val="32"/>
          <w14:textFill>
            <w14:solidFill>
              <w14:schemeClr w14:val="tx1"/>
            </w14:solidFill>
          </w14:textFill>
        </w:rPr>
        <w:t>、同意若与票交所因票据业务发生纠纷时，应与票交所友好协商解决，如协商未果</w:t>
      </w:r>
      <w:r>
        <w:rPr>
          <w:rFonts w:hint="eastAsia" w:ascii="仿宋" w:hAnsi="仿宋" w:eastAsia="仿宋" w:cs="仿宋"/>
          <w:b/>
          <w:bCs/>
          <w:color w:val="000000" w:themeColor="text1"/>
          <w:sz w:val="32"/>
          <w:szCs w:val="32"/>
          <w14:textFill>
            <w14:solidFill>
              <w14:schemeClr w14:val="tx1"/>
            </w14:solidFill>
          </w14:textFill>
        </w:rPr>
        <w:t>应向票交所住所地有管辖权的法院提起诉讼。</w:t>
      </w:r>
    </w:p>
    <w:p>
      <w:pPr>
        <w:spacing w:line="59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我单位确认，本承诺内容是票交所为履行票交所金融市场基础设施职能做出的合理安排，同时也是票交所业务规则的重要基础。我单位同意本承诺函所有内容均是无条件且不可撤销的</w:t>
      </w:r>
      <w:r>
        <w:rPr>
          <w:rFonts w:hint="eastAsia" w:ascii="仿宋" w:hAnsi="仿宋" w:eastAsia="仿宋" w:cs="仿宋"/>
          <w:color w:val="000000" w:themeColor="text1"/>
          <w:sz w:val="32"/>
          <w:szCs w:val="32"/>
          <w:lang w:eastAsia="zh-Hans"/>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不因名称变更或者法定代表人、负责人、承办人的变动而不履行本承诺函项下义务</w:t>
      </w:r>
      <w:r>
        <w:rPr>
          <w:rFonts w:hint="eastAsia" w:ascii="仿宋" w:hAnsi="仿宋" w:eastAsia="仿宋" w:cs="仿宋"/>
          <w:color w:val="000000" w:themeColor="text1"/>
          <w:sz w:val="32"/>
          <w:szCs w:val="32"/>
          <w:lang w:eastAsia="zh-Hans"/>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不会以任何理由否认</w:t>
      </w:r>
      <w:r>
        <w:rPr>
          <w:rFonts w:hint="eastAsia" w:ascii="仿宋" w:hAnsi="仿宋" w:eastAsia="仿宋" w:cs="仿宋"/>
          <w:color w:val="000000" w:themeColor="text1"/>
          <w:sz w:val="32"/>
          <w:szCs w:val="32"/>
          <w:lang w:eastAsia="zh-Hans"/>
          <w14:textFill>
            <w14:solidFill>
              <w14:schemeClr w14:val="tx1"/>
            </w14:solidFill>
          </w14:textFill>
        </w:rPr>
        <w:t>其</w:t>
      </w:r>
      <w:r>
        <w:rPr>
          <w:rFonts w:hint="eastAsia" w:ascii="仿宋" w:hAnsi="仿宋" w:eastAsia="仿宋" w:cs="仿宋"/>
          <w:color w:val="000000" w:themeColor="text1"/>
          <w:sz w:val="32"/>
          <w:szCs w:val="32"/>
          <w14:textFill>
            <w14:solidFill>
              <w14:schemeClr w14:val="tx1"/>
            </w14:solidFill>
          </w14:textFill>
        </w:rPr>
        <w:t>法律效力。我单位办理票据业务时，视为重复对本承诺函内容作出承诺。</w:t>
      </w:r>
    </w:p>
    <w:p>
      <w:pPr>
        <w:spacing w:line="590" w:lineRule="exact"/>
        <w:ind w:firstLine="643"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我单位签署和履行本承诺书是自愿的，是我单位真实意思表示。</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承诺人（公章）</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年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月   日</w:t>
      </w:r>
    </w:p>
    <w:p>
      <w:pPr>
        <w:adjustRightInd w:val="0"/>
        <w:snapToGrid w:val="0"/>
        <w:textAlignment w:val="baseline"/>
        <w:rPr>
          <w:rFonts w:ascii="黑体" w:hAnsi="黑体" w:eastAsia="黑体" w:cs="Times New Roman"/>
          <w:color w:val="000000"/>
          <w:sz w:val="32"/>
          <w:szCs w:val="32"/>
        </w:rPr>
      </w:pPr>
      <w:r>
        <w:rPr>
          <w:rFonts w:hint="eastAsia" w:ascii="黑体" w:hAnsi="黑体" w:eastAsia="黑体" w:cs="Times New Roman"/>
          <w:color w:val="000000"/>
          <w:sz w:val="32"/>
          <w:szCs w:val="32"/>
        </w:rPr>
        <w:br w:type="page"/>
      </w:r>
    </w:p>
    <w:p>
      <w:pPr>
        <w:pStyle w:val="3"/>
        <w:adjustRightInd w:val="0"/>
        <w:snapToGrid w:val="0"/>
        <w:spacing w:line="240" w:lineRule="auto"/>
        <w:textAlignment w:val="baseline"/>
        <w:rPr>
          <w:rFonts w:ascii="仿宋" w:hAnsi="仿宋" w:eastAsia="仿宋" w:cs="仿宋"/>
          <w:b w:val="0"/>
          <w:bCs w:val="0"/>
          <w:color w:val="000000"/>
        </w:rPr>
      </w:pPr>
      <w:bookmarkStart w:id="2595" w:name="_Toc6677"/>
      <w:bookmarkStart w:id="2596" w:name="_Toc2561"/>
      <w:bookmarkStart w:id="2597" w:name="_Toc28329"/>
      <w:bookmarkStart w:id="2598" w:name="_Toc1212380535"/>
      <w:bookmarkStart w:id="2599" w:name="_Toc31917"/>
      <w:bookmarkStart w:id="2600" w:name="_Toc10679"/>
      <w:bookmarkStart w:id="2601" w:name="_Toc7589"/>
      <w:bookmarkStart w:id="2602" w:name="_Toc31147"/>
      <w:bookmarkStart w:id="2603" w:name="_Toc21722"/>
      <w:r>
        <w:rPr>
          <w:rFonts w:hint="eastAsia" w:ascii="仿宋" w:hAnsi="仿宋" w:eastAsia="仿宋" w:cs="仿宋"/>
          <w:b w:val="0"/>
          <w:bCs w:val="0"/>
          <w:color w:val="000000"/>
        </w:rPr>
        <w:t>附件2：</w:t>
      </w:r>
      <w:bookmarkEnd w:id="2595"/>
      <w:bookmarkEnd w:id="2596"/>
      <w:bookmarkEnd w:id="2597"/>
      <w:bookmarkEnd w:id="2598"/>
      <w:bookmarkEnd w:id="2599"/>
      <w:bookmarkEnd w:id="2600"/>
      <w:bookmarkEnd w:id="2601"/>
      <w:bookmarkEnd w:id="2602"/>
      <w:bookmarkEnd w:id="2603"/>
    </w:p>
    <w:p>
      <w:pPr>
        <w:spacing w:after="312" w:afterLines="100"/>
        <w:jc w:val="center"/>
        <w:rPr>
          <w:rFonts w:ascii="黑体" w:hAnsi="黑体" w:eastAsia="黑体" w:cs="黑体"/>
          <w:sz w:val="36"/>
        </w:rPr>
      </w:pPr>
      <w:r>
        <w:rPr>
          <w:rFonts w:hint="eastAsia" w:ascii="黑体" w:hAnsi="黑体" w:eastAsia="黑体" w:cs="黑体"/>
          <w:sz w:val="36"/>
        </w:rPr>
        <w:t>票据包信息展示格式标准说明</w:t>
      </w:r>
    </w:p>
    <w:p>
      <w:pPr>
        <w:pStyle w:val="8"/>
        <w:spacing w:line="590" w:lineRule="exact"/>
        <w:ind w:firstLine="640"/>
        <w:outlineLvl w:val="9"/>
        <w:rPr>
          <w:rFonts w:ascii="仿宋" w:hAnsi="仿宋" w:eastAsia="仿宋" w:cs="仿宋"/>
          <w:sz w:val="32"/>
          <w:szCs w:val="32"/>
        </w:rPr>
      </w:pPr>
      <w:bookmarkStart w:id="2604" w:name="_Toc13396"/>
      <w:bookmarkStart w:id="2605" w:name="_Toc18259"/>
      <w:bookmarkStart w:id="2606" w:name="_Toc6703"/>
      <w:bookmarkStart w:id="2607" w:name="_Toc15766"/>
      <w:bookmarkStart w:id="2608" w:name="_Toc20190"/>
      <w:bookmarkStart w:id="2609" w:name="_Toc21355"/>
      <w:bookmarkStart w:id="2610" w:name="_Toc21939"/>
      <w:bookmarkStart w:id="2611" w:name="_Toc15198"/>
      <w:bookmarkStart w:id="2612" w:name="_Toc1795442369"/>
      <w:r>
        <w:rPr>
          <w:rFonts w:hint="eastAsia" w:ascii="仿宋" w:hAnsi="仿宋" w:eastAsia="仿宋" w:cs="仿宋"/>
          <w:sz w:val="32"/>
          <w:szCs w:val="32"/>
        </w:rPr>
        <w:t>本展示规范适用用通过新一代票据业务系统办理的电子商业汇票的展示，电子商业汇票的显示分为电子银行承兑汇票、电子财务公司承兑汇票和电子商业承兑汇票。</w:t>
      </w:r>
      <w:bookmarkEnd w:id="2604"/>
      <w:bookmarkEnd w:id="2605"/>
      <w:bookmarkEnd w:id="2606"/>
      <w:bookmarkEnd w:id="2607"/>
      <w:bookmarkEnd w:id="2608"/>
      <w:bookmarkEnd w:id="2609"/>
      <w:bookmarkEnd w:id="2610"/>
      <w:bookmarkEnd w:id="2611"/>
      <w:bookmarkEnd w:id="2612"/>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一、电子银行承兑汇票展示</w:t>
      </w:r>
    </w:p>
    <w:p>
      <w:pPr>
        <w:pStyle w:val="8"/>
        <w:spacing w:line="590" w:lineRule="exact"/>
        <w:ind w:firstLine="643"/>
        <w:outlineLvl w:val="9"/>
        <w:rPr>
          <w:rFonts w:ascii="仿宋" w:hAnsi="仿宋" w:eastAsia="仿宋" w:cs="仿宋"/>
          <w:b/>
          <w:bCs/>
          <w:sz w:val="32"/>
          <w:szCs w:val="32"/>
        </w:rPr>
      </w:pPr>
      <w:bookmarkStart w:id="2613" w:name="_Toc5926"/>
      <w:bookmarkStart w:id="2614" w:name="_Toc31836"/>
      <w:bookmarkStart w:id="2615" w:name="_Toc16761"/>
      <w:bookmarkStart w:id="2616" w:name="_Toc7378"/>
      <w:bookmarkStart w:id="2617" w:name="_Toc1597512550"/>
      <w:bookmarkStart w:id="2618" w:name="_Toc13134"/>
      <w:bookmarkStart w:id="2619" w:name="_Toc12289"/>
      <w:bookmarkStart w:id="2620" w:name="_Toc25802"/>
      <w:bookmarkStart w:id="2621" w:name="_Toc22865"/>
      <w:r>
        <w:rPr>
          <w:rFonts w:hint="eastAsia" w:ascii="仿宋" w:hAnsi="仿宋" w:eastAsia="仿宋" w:cs="仿宋"/>
          <w:b/>
          <w:bCs/>
          <w:sz w:val="32"/>
          <w:szCs w:val="32"/>
        </w:rPr>
        <w:t>（一）展示的基本原则</w:t>
      </w:r>
      <w:bookmarkEnd w:id="2613"/>
      <w:bookmarkEnd w:id="2614"/>
      <w:bookmarkEnd w:id="2615"/>
      <w:bookmarkEnd w:id="2616"/>
      <w:bookmarkEnd w:id="2617"/>
      <w:bookmarkEnd w:id="2618"/>
      <w:bookmarkEnd w:id="2619"/>
      <w:bookmarkEnd w:id="2620"/>
      <w:bookmarkEnd w:id="2621"/>
    </w:p>
    <w:p>
      <w:pPr>
        <w:pStyle w:val="8"/>
        <w:spacing w:line="590" w:lineRule="exact"/>
        <w:ind w:firstLine="640"/>
        <w:outlineLvl w:val="9"/>
        <w:rPr>
          <w:rFonts w:ascii="仿宋" w:hAnsi="仿宋" w:eastAsia="仿宋" w:cs="仿宋"/>
          <w:sz w:val="32"/>
          <w:szCs w:val="32"/>
        </w:rPr>
      </w:pPr>
      <w:bookmarkStart w:id="2622" w:name="_Toc27087"/>
      <w:bookmarkStart w:id="2623" w:name="_Toc25519"/>
      <w:bookmarkStart w:id="2624" w:name="_Toc20439"/>
      <w:bookmarkStart w:id="2625" w:name="_Toc23528"/>
      <w:bookmarkStart w:id="2626" w:name="_Toc6673"/>
      <w:bookmarkStart w:id="2627" w:name="_Toc25557"/>
      <w:bookmarkStart w:id="2628" w:name="_Toc1526017273"/>
      <w:bookmarkStart w:id="2629" w:name="_Toc10954"/>
      <w:bookmarkStart w:id="2630" w:name="_Toc8711"/>
      <w:r>
        <w:rPr>
          <w:rFonts w:hint="eastAsia" w:ascii="仿宋" w:hAnsi="仿宋" w:eastAsia="仿宋" w:cs="仿宋"/>
          <w:sz w:val="32"/>
          <w:szCs w:val="32"/>
        </w:rPr>
        <w:t>1.电子银行承兑汇票的展示分为票据正面展示信息、票据附加信息和票据背面展示信息。</w:t>
      </w:r>
      <w:bookmarkEnd w:id="2622"/>
      <w:bookmarkEnd w:id="2623"/>
      <w:bookmarkEnd w:id="2624"/>
      <w:bookmarkEnd w:id="2625"/>
      <w:bookmarkEnd w:id="2626"/>
      <w:bookmarkEnd w:id="2627"/>
      <w:bookmarkEnd w:id="2628"/>
      <w:bookmarkEnd w:id="2629"/>
      <w:bookmarkEnd w:id="2630"/>
    </w:p>
    <w:p>
      <w:pPr>
        <w:pStyle w:val="8"/>
        <w:spacing w:line="590" w:lineRule="exact"/>
        <w:ind w:firstLine="640"/>
        <w:outlineLvl w:val="9"/>
        <w:rPr>
          <w:rFonts w:ascii="仿宋" w:hAnsi="仿宋" w:eastAsia="仿宋" w:cs="仿宋"/>
          <w:sz w:val="32"/>
          <w:szCs w:val="32"/>
        </w:rPr>
      </w:pPr>
      <w:bookmarkStart w:id="2631" w:name="_Toc28484"/>
      <w:bookmarkStart w:id="2632" w:name="_Toc245857583"/>
      <w:bookmarkStart w:id="2633" w:name="_Toc15759"/>
      <w:bookmarkStart w:id="2634" w:name="_Toc29177"/>
      <w:bookmarkStart w:id="2635" w:name="_Toc830"/>
      <w:bookmarkStart w:id="2636" w:name="_Toc479"/>
      <w:bookmarkStart w:id="2637" w:name="_Toc21819"/>
      <w:bookmarkStart w:id="2638" w:name="_Toc28266"/>
      <w:bookmarkStart w:id="2639" w:name="_Toc5430"/>
      <w:r>
        <w:rPr>
          <w:rFonts w:hint="eastAsia" w:ascii="仿宋" w:hAnsi="仿宋" w:eastAsia="仿宋" w:cs="仿宋"/>
          <w:sz w:val="32"/>
          <w:szCs w:val="32"/>
        </w:rPr>
        <w:t>2.票据正面和背面的要素名称、布局和背景色应严格按照规定的样式显示。字体统一使用“宋体”，其中“电子银行承兑汇票”字样加粗，其余文字使用常规字形。文字格大小、空白间距、字体大小可根据实际情况自主确定，但应遵循简洁、美观的原则。</w:t>
      </w:r>
      <w:bookmarkEnd w:id="2631"/>
      <w:bookmarkEnd w:id="2632"/>
      <w:bookmarkEnd w:id="2633"/>
      <w:bookmarkEnd w:id="2634"/>
      <w:bookmarkEnd w:id="2635"/>
      <w:bookmarkEnd w:id="2636"/>
      <w:bookmarkEnd w:id="2637"/>
      <w:bookmarkEnd w:id="2638"/>
      <w:bookmarkEnd w:id="2639"/>
    </w:p>
    <w:p>
      <w:pPr>
        <w:pStyle w:val="8"/>
        <w:spacing w:line="590" w:lineRule="exact"/>
        <w:ind w:firstLine="640"/>
        <w:outlineLvl w:val="9"/>
        <w:rPr>
          <w:rFonts w:ascii="仿宋" w:hAnsi="仿宋" w:eastAsia="仿宋" w:cs="仿宋"/>
          <w:sz w:val="32"/>
          <w:szCs w:val="32"/>
        </w:rPr>
      </w:pPr>
      <w:bookmarkStart w:id="2640" w:name="_Toc8789"/>
      <w:bookmarkStart w:id="2641" w:name="_Toc16363"/>
      <w:bookmarkStart w:id="2642" w:name="_Toc4741"/>
      <w:bookmarkStart w:id="2643" w:name="_Toc868"/>
      <w:bookmarkStart w:id="2644" w:name="_Toc1763650074"/>
      <w:bookmarkStart w:id="2645" w:name="_Toc6557"/>
      <w:bookmarkStart w:id="2646" w:name="_Toc25587"/>
      <w:bookmarkStart w:id="2647" w:name="_Toc10632"/>
      <w:bookmarkStart w:id="2648" w:name="_Toc18582"/>
      <w:r>
        <w:rPr>
          <w:rFonts w:hint="eastAsia" w:ascii="仿宋" w:hAnsi="仿宋" w:eastAsia="仿宋" w:cs="仿宋"/>
          <w:sz w:val="32"/>
          <w:szCs w:val="32"/>
        </w:rPr>
        <w:t>3.票据附加展示信息作为票据正面的补充信息，各参与者服务机构应</w:t>
      </w:r>
      <w:r>
        <w:rPr>
          <w:rFonts w:hint="eastAsia" w:ascii="仿宋" w:hAnsi="仿宋" w:eastAsia="仿宋" w:cs="仿宋"/>
          <w:sz w:val="32"/>
          <w:szCs w:val="32"/>
          <w:lang w:eastAsia="zh-Hans"/>
        </w:rPr>
        <w:t>向</w:t>
      </w:r>
      <w:r>
        <w:rPr>
          <w:rFonts w:hint="eastAsia" w:ascii="仿宋" w:hAnsi="仿宋" w:eastAsia="仿宋" w:cs="仿宋"/>
          <w:sz w:val="32"/>
          <w:szCs w:val="32"/>
        </w:rPr>
        <w:t>被展示对象一并进行展示。</w:t>
      </w:r>
      <w:bookmarkEnd w:id="2640"/>
      <w:bookmarkEnd w:id="2641"/>
      <w:bookmarkEnd w:id="2642"/>
      <w:bookmarkEnd w:id="2643"/>
      <w:bookmarkEnd w:id="2644"/>
      <w:bookmarkEnd w:id="2645"/>
      <w:bookmarkEnd w:id="2646"/>
      <w:bookmarkEnd w:id="2647"/>
      <w:bookmarkEnd w:id="2648"/>
    </w:p>
    <w:p>
      <w:pPr>
        <w:pStyle w:val="8"/>
        <w:spacing w:line="590" w:lineRule="exact"/>
        <w:ind w:firstLine="640"/>
        <w:outlineLvl w:val="9"/>
        <w:rPr>
          <w:rFonts w:ascii="仿宋" w:hAnsi="仿宋" w:eastAsia="仿宋" w:cs="仿宋"/>
          <w:sz w:val="32"/>
          <w:szCs w:val="32"/>
          <w:highlight w:val="yellow"/>
        </w:rPr>
      </w:pPr>
      <w:bookmarkStart w:id="2649" w:name="_Toc10891"/>
      <w:bookmarkStart w:id="2650" w:name="_Toc27755"/>
      <w:bookmarkStart w:id="2651" w:name="_Toc32540"/>
      <w:bookmarkStart w:id="2652" w:name="_Toc6537"/>
      <w:bookmarkStart w:id="2653" w:name="_Toc8636"/>
      <w:bookmarkStart w:id="2654" w:name="_Toc950"/>
      <w:bookmarkStart w:id="2655" w:name="_Toc466806331"/>
      <w:bookmarkStart w:id="2656" w:name="_Toc16643"/>
      <w:bookmarkStart w:id="2657" w:name="_Toc5467"/>
      <w:r>
        <w:rPr>
          <w:rFonts w:hint="eastAsia" w:ascii="仿宋" w:hAnsi="仿宋" w:eastAsia="仿宋" w:cs="仿宋"/>
          <w:sz w:val="32"/>
          <w:szCs w:val="32"/>
        </w:rPr>
        <w:t>4.对于未完成承兑的票据，票据正面中</w:t>
      </w:r>
      <w:r>
        <w:rPr>
          <w:rFonts w:hint="eastAsia" w:ascii="仿宋" w:hAnsi="仿宋" w:eastAsia="仿宋" w:cs="仿宋"/>
          <w:sz w:val="32"/>
          <w:szCs w:val="32"/>
          <w:lang w:eastAsia="zh-Hans"/>
        </w:rPr>
        <w:t>的</w:t>
      </w:r>
      <w:r>
        <w:rPr>
          <w:rFonts w:hint="eastAsia" w:ascii="仿宋" w:hAnsi="仿宋" w:eastAsia="仿宋" w:cs="仿宋"/>
          <w:sz w:val="32"/>
          <w:szCs w:val="32"/>
        </w:rPr>
        <w:t>承兑人信息</w:t>
      </w:r>
      <w:r>
        <w:rPr>
          <w:rFonts w:hint="eastAsia" w:ascii="仿宋" w:hAnsi="仿宋" w:eastAsia="仿宋" w:cs="仿宋"/>
          <w:sz w:val="32"/>
          <w:szCs w:val="32"/>
          <w:lang w:eastAsia="zh-Hans"/>
        </w:rPr>
        <w:t>不得展示，并且承兑信息</w:t>
      </w:r>
      <w:r>
        <w:rPr>
          <w:rFonts w:hint="eastAsia" w:ascii="仿宋" w:hAnsi="仿宋" w:eastAsia="仿宋" w:cs="仿宋"/>
          <w:sz w:val="32"/>
          <w:szCs w:val="32"/>
        </w:rPr>
        <w:t>部分不得展示</w:t>
      </w:r>
      <w:r>
        <w:rPr>
          <w:rFonts w:hint="eastAsia" w:ascii="仿宋" w:hAnsi="仿宋" w:eastAsia="仿宋" w:cs="仿宋"/>
          <w:sz w:val="32"/>
          <w:szCs w:val="32"/>
          <w:lang w:eastAsia="zh-Hans"/>
        </w:rPr>
        <w:t>“本汇票已经承兑，到期无条件付款”</w:t>
      </w:r>
      <w:r>
        <w:rPr>
          <w:rFonts w:hint="eastAsia" w:ascii="仿宋" w:hAnsi="仿宋" w:eastAsia="仿宋" w:cs="仿宋"/>
          <w:sz w:val="32"/>
          <w:szCs w:val="32"/>
        </w:rPr>
        <w:t>字样，</w:t>
      </w:r>
      <w:r>
        <w:rPr>
          <w:rFonts w:hint="eastAsia" w:ascii="仿宋" w:hAnsi="仿宋" w:eastAsia="仿宋" w:cs="仿宋"/>
          <w:sz w:val="32"/>
          <w:szCs w:val="32"/>
          <w:lang w:eastAsia="zh-Hans"/>
        </w:rPr>
        <w:t>同时</w:t>
      </w:r>
      <w:r>
        <w:rPr>
          <w:rFonts w:hint="eastAsia" w:ascii="仿宋" w:hAnsi="仿宋" w:eastAsia="仿宋" w:cs="仿宋"/>
          <w:sz w:val="32"/>
          <w:szCs w:val="32"/>
        </w:rPr>
        <w:t>应醒目注明“本汇票尚未完成承兑”。</w:t>
      </w:r>
      <w:bookmarkEnd w:id="2649"/>
      <w:bookmarkEnd w:id="2650"/>
      <w:bookmarkEnd w:id="2651"/>
      <w:bookmarkEnd w:id="2652"/>
      <w:bookmarkEnd w:id="2653"/>
      <w:bookmarkEnd w:id="2654"/>
      <w:bookmarkEnd w:id="2655"/>
      <w:bookmarkEnd w:id="2656"/>
      <w:bookmarkEnd w:id="2657"/>
    </w:p>
    <w:p>
      <w:pPr>
        <w:pStyle w:val="8"/>
        <w:spacing w:line="590" w:lineRule="exact"/>
        <w:ind w:firstLine="640"/>
        <w:outlineLvl w:val="9"/>
        <w:rPr>
          <w:rFonts w:ascii="仿宋" w:hAnsi="仿宋" w:eastAsia="仿宋" w:cs="仿宋"/>
          <w:sz w:val="32"/>
          <w:szCs w:val="32"/>
        </w:rPr>
      </w:pPr>
      <w:bookmarkStart w:id="2658" w:name="_Toc11489"/>
      <w:bookmarkStart w:id="2659" w:name="_Toc32205"/>
      <w:bookmarkStart w:id="2660" w:name="_Toc6757"/>
      <w:bookmarkStart w:id="2661" w:name="_Toc8890"/>
      <w:bookmarkStart w:id="2662" w:name="_Toc23657"/>
      <w:bookmarkStart w:id="2663" w:name="_Toc18562"/>
      <w:bookmarkStart w:id="2664" w:name="_Toc32160"/>
      <w:bookmarkStart w:id="2665" w:name="_Toc16869"/>
      <w:bookmarkStart w:id="2666" w:name="_Toc1980254162"/>
      <w:r>
        <w:rPr>
          <w:rFonts w:hint="eastAsia" w:ascii="仿宋" w:hAnsi="仿宋" w:eastAsia="仿宋" w:cs="仿宋"/>
          <w:sz w:val="32"/>
          <w:szCs w:val="32"/>
        </w:rPr>
        <w:t>5.票据展示分为当前行为人票据展示和历史票据展示，当对当前行为人</w:t>
      </w:r>
      <w:r>
        <w:rPr>
          <w:rStyle w:val="25"/>
          <w:rFonts w:hint="eastAsia" w:ascii="仿宋" w:hAnsi="仿宋" w:eastAsia="仿宋" w:cs="仿宋"/>
          <w:sz w:val="32"/>
          <w:szCs w:val="32"/>
        </w:rPr>
        <w:footnoteReference w:id="9"/>
      </w:r>
      <w:r>
        <w:rPr>
          <w:rFonts w:hint="eastAsia" w:ascii="仿宋" w:hAnsi="仿宋" w:eastAsia="仿宋" w:cs="仿宋"/>
          <w:sz w:val="32"/>
          <w:szCs w:val="32"/>
        </w:rPr>
        <w:t>展示时，应该根据当前的最新信息进行展示。</w:t>
      </w:r>
      <w:bookmarkEnd w:id="2658"/>
      <w:bookmarkEnd w:id="2659"/>
      <w:bookmarkEnd w:id="2660"/>
      <w:bookmarkEnd w:id="2661"/>
      <w:bookmarkEnd w:id="2662"/>
      <w:bookmarkEnd w:id="2663"/>
      <w:bookmarkEnd w:id="2664"/>
      <w:bookmarkEnd w:id="2665"/>
      <w:bookmarkEnd w:id="2666"/>
    </w:p>
    <w:p>
      <w:pPr>
        <w:pStyle w:val="8"/>
        <w:spacing w:line="590" w:lineRule="exact"/>
        <w:ind w:firstLine="640"/>
        <w:outlineLvl w:val="9"/>
        <w:rPr>
          <w:rFonts w:ascii="仿宋" w:hAnsi="仿宋" w:eastAsia="仿宋" w:cs="仿宋"/>
          <w:sz w:val="32"/>
          <w:szCs w:val="32"/>
        </w:rPr>
      </w:pPr>
      <w:bookmarkStart w:id="2667" w:name="_Toc2825"/>
      <w:bookmarkStart w:id="2668" w:name="_Toc13729"/>
      <w:bookmarkStart w:id="2669" w:name="_Toc861571590"/>
      <w:bookmarkStart w:id="2670" w:name="_Toc6126"/>
      <w:bookmarkStart w:id="2671" w:name="_Toc24639"/>
      <w:bookmarkStart w:id="2672" w:name="_Toc19796"/>
      <w:bookmarkStart w:id="2673" w:name="_Toc15723"/>
      <w:bookmarkStart w:id="2674" w:name="_Toc20152"/>
      <w:bookmarkStart w:id="2675" w:name="_Toc16113"/>
      <w:r>
        <w:rPr>
          <w:rFonts w:hint="eastAsia" w:ascii="仿宋" w:hAnsi="仿宋" w:eastAsia="仿宋" w:cs="仿宋"/>
          <w:sz w:val="32"/>
          <w:szCs w:val="32"/>
        </w:rPr>
        <w:t>6.对于向票据</w:t>
      </w:r>
      <w:r>
        <w:rPr>
          <w:rFonts w:hint="eastAsia" w:ascii="仿宋" w:hAnsi="仿宋" w:eastAsia="仿宋" w:cs="仿宋"/>
          <w:sz w:val="32"/>
          <w:szCs w:val="32"/>
          <w:lang w:eastAsia="zh-CN"/>
        </w:rPr>
        <w:t>历史</w:t>
      </w:r>
      <w:r>
        <w:rPr>
          <w:rFonts w:hint="eastAsia" w:ascii="仿宋" w:hAnsi="仿宋" w:eastAsia="仿宋" w:cs="仿宋"/>
          <w:sz w:val="32"/>
          <w:szCs w:val="32"/>
        </w:rPr>
        <w:t>行为人进行展示的，向其展示的为自身作出的行为信息及之前的票据信息。对于已转出票据，应向其展示时在票据状态位置注明：“票据已转出”；对于已保证票据，应向保证人展示时在票据状态位置注明：“票据已保证”；对于质押已解除票据，应向原质权人展示时在票据状态位置注明：“票据质押已解除”。</w:t>
      </w:r>
      <w:bookmarkEnd w:id="2667"/>
      <w:bookmarkEnd w:id="2668"/>
      <w:bookmarkEnd w:id="2669"/>
      <w:bookmarkEnd w:id="2670"/>
      <w:bookmarkEnd w:id="2671"/>
      <w:bookmarkEnd w:id="2672"/>
      <w:bookmarkEnd w:id="2673"/>
      <w:bookmarkEnd w:id="2674"/>
      <w:bookmarkEnd w:id="2675"/>
    </w:p>
    <w:p>
      <w:pPr>
        <w:pStyle w:val="8"/>
        <w:spacing w:line="590" w:lineRule="exact"/>
        <w:ind w:firstLine="630"/>
        <w:outlineLvl w:val="9"/>
        <w:rPr>
          <w:rFonts w:ascii="仿宋" w:hAnsi="仿宋" w:eastAsia="仿宋" w:cs="仿宋"/>
          <w:w w:val="99"/>
          <w:sz w:val="32"/>
          <w:szCs w:val="32"/>
        </w:rPr>
      </w:pPr>
      <w:bookmarkStart w:id="2676" w:name="_Toc23951"/>
      <w:bookmarkStart w:id="2677" w:name="_Toc19023"/>
      <w:bookmarkStart w:id="2678" w:name="_Toc1081486942"/>
      <w:bookmarkStart w:id="2679" w:name="_Toc5777"/>
      <w:bookmarkStart w:id="2680" w:name="_Toc4049"/>
      <w:bookmarkStart w:id="2681" w:name="_Toc32225"/>
      <w:bookmarkStart w:id="2682" w:name="_Toc7243"/>
      <w:bookmarkStart w:id="2683" w:name="_Toc32247"/>
      <w:bookmarkStart w:id="2684" w:name="_Toc25079"/>
      <w:r>
        <w:rPr>
          <w:rFonts w:hint="eastAsia" w:ascii="仿宋" w:hAnsi="仿宋" w:eastAsia="仿宋" w:cs="仿宋"/>
          <w:w w:val="99"/>
          <w:sz w:val="32"/>
          <w:szCs w:val="32"/>
        </w:rPr>
        <w:t>7.分包后的票据包信息应独立记载和展示。</w:t>
      </w:r>
      <w:bookmarkEnd w:id="2676"/>
      <w:bookmarkEnd w:id="2677"/>
      <w:bookmarkEnd w:id="2678"/>
      <w:bookmarkEnd w:id="2679"/>
      <w:bookmarkEnd w:id="2680"/>
      <w:bookmarkEnd w:id="2681"/>
      <w:bookmarkEnd w:id="2682"/>
      <w:bookmarkEnd w:id="2683"/>
      <w:bookmarkEnd w:id="2684"/>
    </w:p>
    <w:p>
      <w:pPr>
        <w:pStyle w:val="8"/>
        <w:spacing w:line="590" w:lineRule="exact"/>
        <w:ind w:firstLine="630"/>
        <w:outlineLvl w:val="9"/>
        <w:rPr>
          <w:rFonts w:ascii="仿宋" w:hAnsi="仿宋" w:eastAsia="仿宋" w:cs="仿宋"/>
          <w:w w:val="99"/>
          <w:sz w:val="32"/>
          <w:szCs w:val="32"/>
        </w:rPr>
      </w:pPr>
      <w:bookmarkStart w:id="2685" w:name="_Toc8832"/>
      <w:bookmarkStart w:id="2686" w:name="_Toc4735"/>
      <w:bookmarkStart w:id="2687" w:name="_Toc10136"/>
      <w:bookmarkStart w:id="2688" w:name="_Toc1380022782"/>
      <w:bookmarkStart w:id="2689" w:name="_Toc19613"/>
      <w:bookmarkStart w:id="2690" w:name="_Toc23897"/>
      <w:bookmarkStart w:id="2691" w:name="_Toc12352"/>
      <w:bookmarkStart w:id="2692" w:name="_Toc22906"/>
      <w:bookmarkStart w:id="2693" w:name="_Toc283"/>
      <w:r>
        <w:rPr>
          <w:rFonts w:hint="eastAsia" w:ascii="仿宋" w:hAnsi="仿宋" w:eastAsia="仿宋" w:cs="仿宋"/>
          <w:w w:val="99"/>
          <w:sz w:val="32"/>
          <w:szCs w:val="32"/>
        </w:rPr>
        <w:t>8.</w:t>
      </w:r>
      <w:r>
        <w:rPr>
          <w:rFonts w:hint="eastAsia" w:ascii="仿宋" w:hAnsi="仿宋" w:eastAsia="仿宋" w:cs="仿宋"/>
          <w:sz w:val="32"/>
          <w:szCs w:val="32"/>
        </w:rPr>
        <w:t>票据查验时，看票人的参与者服务机构应按本规范展示相关票据信息。</w:t>
      </w:r>
      <w:bookmarkEnd w:id="2685"/>
      <w:bookmarkEnd w:id="2686"/>
      <w:bookmarkEnd w:id="2687"/>
      <w:bookmarkEnd w:id="2688"/>
      <w:bookmarkEnd w:id="2689"/>
      <w:bookmarkEnd w:id="2690"/>
      <w:bookmarkEnd w:id="2691"/>
      <w:bookmarkEnd w:id="2692"/>
      <w:bookmarkEnd w:id="2693"/>
    </w:p>
    <w:p>
      <w:pPr>
        <w:pStyle w:val="16"/>
        <w:spacing w:beforeAutospacing="0" w:afterAutospacing="0" w:line="590" w:lineRule="exact"/>
        <w:ind w:firstLine="632" w:firstLineChars="200"/>
        <w:jc w:val="both"/>
        <w:rPr>
          <w:rFonts w:ascii="仿宋" w:hAnsi="仿宋" w:eastAsia="仿宋" w:cs="仿宋"/>
          <w:w w:val="99"/>
          <w:sz w:val="32"/>
          <w:szCs w:val="32"/>
        </w:rPr>
      </w:pPr>
      <w:r>
        <w:rPr>
          <w:rFonts w:hint="eastAsia" w:ascii="仿宋" w:hAnsi="仿宋" w:eastAsia="仿宋" w:cs="仿宋"/>
          <w:w w:val="99"/>
          <w:sz w:val="32"/>
          <w:szCs w:val="32"/>
        </w:rPr>
        <w:t>9.针对本票据展示规范中未包含的其他信息，参与者服务机构可将“票据详细信息下发（CIM.025）”和“业务参与者支付信用查询应答(MEM.012)”等报文中的其他票据信息根据业务需要结合后向客户进行展示。</w:t>
      </w:r>
    </w:p>
    <w:p>
      <w:pPr>
        <w:pStyle w:val="8"/>
        <w:spacing w:line="590" w:lineRule="exact"/>
        <w:ind w:firstLine="643"/>
        <w:outlineLvl w:val="9"/>
        <w:rPr>
          <w:rFonts w:ascii="仿宋" w:hAnsi="仿宋" w:eastAsia="仿宋" w:cs="仿宋"/>
          <w:b/>
          <w:bCs/>
          <w:sz w:val="32"/>
          <w:szCs w:val="32"/>
        </w:rPr>
      </w:pPr>
      <w:bookmarkStart w:id="2694" w:name="_Toc6471"/>
      <w:bookmarkStart w:id="2695" w:name="_Toc18826"/>
      <w:bookmarkStart w:id="2696" w:name="_Toc8179"/>
      <w:bookmarkStart w:id="2697" w:name="_Toc6581"/>
      <w:bookmarkStart w:id="2698" w:name="_Toc13437"/>
      <w:bookmarkStart w:id="2699" w:name="_Toc1478"/>
      <w:bookmarkStart w:id="2700" w:name="_Toc31167"/>
      <w:bookmarkStart w:id="2701" w:name="_Toc1298285480"/>
      <w:bookmarkStart w:id="2702" w:name="_Toc4423"/>
      <w:r>
        <w:rPr>
          <w:rFonts w:hint="eastAsia" w:ascii="仿宋" w:hAnsi="仿宋" w:eastAsia="仿宋" w:cs="仿宋"/>
          <w:b/>
          <w:bCs/>
          <w:sz w:val="32"/>
          <w:szCs w:val="32"/>
        </w:rPr>
        <w:t>（二）电子银行承兑汇票票据正面展示</w:t>
      </w:r>
      <w:bookmarkEnd w:id="2694"/>
      <w:bookmarkEnd w:id="2695"/>
      <w:bookmarkEnd w:id="2696"/>
      <w:bookmarkEnd w:id="2697"/>
      <w:bookmarkEnd w:id="2698"/>
      <w:bookmarkEnd w:id="2699"/>
      <w:bookmarkEnd w:id="2700"/>
      <w:bookmarkEnd w:id="2701"/>
      <w:bookmarkEnd w:id="2702"/>
    </w:p>
    <w:p>
      <w:pPr>
        <w:pStyle w:val="8"/>
        <w:spacing w:line="590" w:lineRule="exact"/>
        <w:ind w:firstLine="640"/>
        <w:outlineLvl w:val="9"/>
        <w:rPr>
          <w:rFonts w:ascii="仿宋" w:hAnsi="仿宋" w:eastAsia="仿宋" w:cs="仿宋"/>
          <w:sz w:val="32"/>
          <w:szCs w:val="32"/>
        </w:rPr>
      </w:pPr>
      <w:bookmarkStart w:id="2703" w:name="_Toc31698"/>
      <w:bookmarkStart w:id="2704" w:name="_Toc25328"/>
      <w:bookmarkStart w:id="2705" w:name="_Toc22079"/>
      <w:bookmarkStart w:id="2706" w:name="_Toc11723"/>
      <w:bookmarkStart w:id="2707" w:name="_Toc20064"/>
      <w:bookmarkStart w:id="2708" w:name="_Toc1221"/>
      <w:bookmarkStart w:id="2709" w:name="_Toc4284"/>
      <w:bookmarkStart w:id="2710" w:name="_Toc851060013"/>
      <w:bookmarkStart w:id="2711" w:name="_Toc1786"/>
      <w:r>
        <w:rPr>
          <w:rFonts w:hint="eastAsia" w:ascii="仿宋" w:hAnsi="仿宋" w:eastAsia="仿宋" w:cs="仿宋"/>
          <w:sz w:val="32"/>
          <w:szCs w:val="32"/>
        </w:rPr>
        <w:t>电子银行承兑汇票</w:t>
      </w:r>
      <w:r>
        <w:rPr>
          <w:rFonts w:hint="eastAsia" w:ascii="仿宋" w:hAnsi="仿宋" w:eastAsia="仿宋" w:cs="仿宋"/>
          <w:b/>
          <w:sz w:val="32"/>
          <w:szCs w:val="32"/>
        </w:rPr>
        <w:t>票据正面展示</w:t>
      </w:r>
      <w:r>
        <w:rPr>
          <w:rFonts w:hint="eastAsia" w:ascii="仿宋" w:hAnsi="仿宋" w:eastAsia="仿宋" w:cs="仿宋"/>
          <w:sz w:val="32"/>
          <w:szCs w:val="32"/>
        </w:rPr>
        <w:t>包括以下要素：显示日期、电子商业汇票系统Logo、“电子银行承兑汇票”字样、出票日期、汇票到期日、票据状态、票据号码、出票人信息、收款人信息、出票保证信息、票据金额、承兑人信息、能否转让、承兑信息、承兑保证信息和评级信息。</w:t>
      </w:r>
      <w:bookmarkStart w:id="2712" w:name="_Toc1699"/>
      <w:bookmarkStart w:id="2713" w:name="_Toc22091"/>
      <w:bookmarkStart w:id="2714" w:name="_Toc6412"/>
      <w:bookmarkStart w:id="2715" w:name="_Toc5083"/>
      <w:bookmarkStart w:id="2716" w:name="_Toc26939"/>
      <w:bookmarkStart w:id="2717" w:name="_Toc20539"/>
      <w:r>
        <w:rPr>
          <w:rFonts w:hint="eastAsia" w:ascii="仿宋" w:hAnsi="仿宋" w:eastAsia="仿宋" w:cs="仿宋"/>
          <w:sz w:val="32"/>
          <w:szCs w:val="32"/>
        </w:rPr>
        <w:t>已完成承兑的票据，参与者应根据“票据详细信息下发（CIM.025）</w:t>
      </w:r>
      <w:bookmarkEnd w:id="2712"/>
      <w:bookmarkEnd w:id="2713"/>
      <w:bookmarkEnd w:id="2714"/>
      <w:bookmarkEnd w:id="2715"/>
      <w:bookmarkEnd w:id="2716"/>
      <w:bookmarkEnd w:id="2717"/>
      <w:r>
        <w:rPr>
          <w:rFonts w:hint="eastAsia" w:ascii="仿宋" w:hAnsi="仿宋" w:eastAsia="仿宋" w:cs="仿宋"/>
          <w:sz w:val="32"/>
          <w:szCs w:val="32"/>
        </w:rPr>
        <w:t>”中票据信息和“业务参与者支付信用查询应答(MEM.012)”承兑人的评级信息组成票面信息并展示；对于未完成承兑的票据，出票人的参与者服务机构应根据“出票信息登记报文（NES.001）”和“通用业务确认报文(CIM.001）”中信息组成票面信息并展示，出票保证人的参与者服务机构应根据“票据详细信息下发（CIM.025）”、“通用业务应答报文(CIM.004）”中信息组成票面信息并展示；对于参与者作为应答方开户行的，应基于</w:t>
      </w:r>
      <w:bookmarkStart w:id="2718" w:name="_Toc6261"/>
      <w:bookmarkStart w:id="2719" w:name="_Toc22264"/>
      <w:bookmarkStart w:id="2720" w:name="_Toc2146"/>
      <w:bookmarkStart w:id="2721" w:name="_Toc13711"/>
      <w:bookmarkStart w:id="2722" w:name="_Toc30576"/>
      <w:r>
        <w:rPr>
          <w:rFonts w:hint="eastAsia" w:ascii="仿宋" w:hAnsi="仿宋" w:eastAsia="仿宋" w:cs="仿宋"/>
          <w:sz w:val="32"/>
          <w:szCs w:val="32"/>
        </w:rPr>
        <w:t>本方“通用业务应答报文(CIM.004）</w:t>
      </w:r>
      <w:bookmarkEnd w:id="2718"/>
      <w:bookmarkEnd w:id="2719"/>
      <w:bookmarkEnd w:id="2720"/>
      <w:bookmarkEnd w:id="2721"/>
      <w:bookmarkEnd w:id="2722"/>
      <w:r>
        <w:rPr>
          <w:rFonts w:hint="eastAsia" w:ascii="仿宋" w:hAnsi="仿宋" w:eastAsia="仿宋" w:cs="仿宋"/>
          <w:sz w:val="32"/>
          <w:szCs w:val="32"/>
        </w:rPr>
        <w:t>”成功后对票据信息进行更新。</w:t>
      </w:r>
      <w:bookmarkEnd w:id="2703"/>
      <w:bookmarkEnd w:id="2704"/>
      <w:bookmarkEnd w:id="2705"/>
      <w:bookmarkEnd w:id="2706"/>
      <w:bookmarkEnd w:id="2707"/>
      <w:bookmarkEnd w:id="2708"/>
      <w:bookmarkEnd w:id="2709"/>
      <w:bookmarkEnd w:id="2710"/>
      <w:bookmarkEnd w:id="2711"/>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1.显示日期。显示日期是电子银行承兑汇票的当事人查看该张票据的实际日期，以“yyyy-mm-dd  HH:MM”格式显示，如2016年12月8日10点30，应显示为2016-12-08  10:30。</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2.“电子银行承兑汇票”字样。该字样加粗并居中显示。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3.出票日期。出票日期以“yyyy-mm-dd”格式显示。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4.汇票到期日。汇票到期日以“yyyy-mm-dd”格式显示。</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5.票据状态。显示当前票据状态和票据流通标志，以汉字显示。</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6.票据号码。票据号码包含票据（包）号码和子票区间。</w:t>
      </w:r>
    </w:p>
    <w:p>
      <w:pPr>
        <w:tabs>
          <w:tab w:val="left" w:pos="2696"/>
        </w:tabs>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票据（包）号码共30位，票据（包）号码第1位与第2位之间、第13位与第14位之间、第21位与第22位之间、第29位与第30位之间分别空一格。</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子票区间，子票区间显示本包票据的起始序号和终止序号，均为12位，以“XXXXXXXXXXXX-XXXXXXXXXXXX”格式显示,不足12位展示时起始序号前方均不补0，如“1-120000000”；不可分包票据的子票区间展示为“0-0”。</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出票人信息。包括：出票人全称、出票人账号、出票人开户银行。出票人全称、出票人账号、出票人开户银行应为“票据详细信息下发（CIM.025）”或“出票信息登记报文（NES.001）”中的出票人名称、出票人账号、出票人开户行机构代码对应的名称。</w:t>
      </w:r>
    </w:p>
    <w:p>
      <w:pPr>
        <w:shd w:val="clear" w:color="auto" w:fill="FFFFFF"/>
        <w:spacing w:line="590" w:lineRule="exact"/>
        <w:ind w:firstLine="640" w:firstLineChars="200"/>
        <w:rPr>
          <w:rFonts w:ascii="仿宋" w:hAnsi="仿宋" w:eastAsia="仿宋" w:cs="仿宋"/>
          <w:sz w:val="32"/>
          <w:szCs w:val="32"/>
          <w:highlight w:val="yellow"/>
        </w:rPr>
      </w:pPr>
      <w:r>
        <w:rPr>
          <w:rFonts w:hint="eastAsia" w:ascii="仿宋" w:hAnsi="仿宋" w:eastAsia="仿宋" w:cs="仿宋"/>
          <w:sz w:val="32"/>
          <w:szCs w:val="32"/>
        </w:rPr>
        <w:t>8.收款人信息。包括：收款人全称、收款人账号、收款人开户银行。收款人全称、收款人账号、收款人开户银行应为“票据详细信息下发（CIM.025）”或“通用业务应答报文(CIM.004）”中的收款人名称、收款人账号、收款人开户行机构代码对应的名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出票保证信息。包括：保证人名称、保证人地址、保证日期。保证人名称、保证人地址、保证日期应为“票据详细信息下发（CIM.025）”或“通用业务应答报文(CIM.004）”中的保证人名称、保证人地址、保证日期。如有多名出票保证人，则按时间先后顺序连续显示；出票保证信息在出票保证人同意签收前不得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票据金额。票据金额应为“票据详细信息下发（CIM.025）”或“出票信息登记报文（NES.001）”中的票据金额。票据金额包括中文大写和阿拉伯数字小写。大小写金额应一致。中文大写金额数字前应显示“人民币”字样，大写金额数字应紧接“人民币”字样填写，不得留有空白。中文大写金额数字应用宋体显示，如壹、贰、叁、肆、伍、陆、柒、捌、玖、拾、佰、仟、万、亿、元、角、分、零、整等字样。如￥１４０９．５1应显示为人民币壹仟肆佰零玖元伍角壹分；阿拉伯小写金额数字前面，应显示人民币符号“¥”。</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承兑人信息。包括：承兑人全称、承兑人账号、承兑人开户行行号、承兑人开户行名称。承兑人全称、承兑人账号、承兑人开户行行号、承兑人开户行名称应为“票据详细信息下发（CIM.025）”或“通用业务应答报文(CIM.004）”中的承兑人名称、承兑人账号、承兑人开户行机构代码、承兑人开户行机构代码对应的名称。承兑人信息在承兑人同意签收前不得展示。</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12.能否转让。应根据“票据详细信息下发（CIM.025）”或“出票信息登记报文（NES.001）”中的“不得转让标记”显示为“可转让”或“不得转让”</w:t>
      </w:r>
      <w:r>
        <w:rPr>
          <w:rFonts w:hint="eastAsia" w:ascii="仿宋" w:hAnsi="仿宋" w:eastAsia="仿宋" w:cs="仿宋"/>
          <w:sz w:val="32"/>
          <w:szCs w:val="32"/>
          <w:lang w:eastAsia="zh-Hans"/>
        </w:rPr>
        <w:t>；根据</w:t>
      </w:r>
      <w:r>
        <w:rPr>
          <w:rFonts w:hint="eastAsia" w:ascii="仿宋" w:hAnsi="仿宋" w:eastAsia="仿宋" w:cs="仿宋"/>
          <w:sz w:val="32"/>
          <w:szCs w:val="32"/>
        </w:rPr>
        <w:t>“出票信息登记报文（NES.001）”中的“票据是否允许分包流转”</w:t>
      </w:r>
      <w:r>
        <w:rPr>
          <w:rFonts w:hint="eastAsia" w:ascii="仿宋" w:hAnsi="仿宋" w:eastAsia="仿宋" w:cs="仿宋"/>
          <w:sz w:val="32"/>
          <w:szCs w:val="32"/>
          <w:lang w:eastAsia="zh-Hans"/>
        </w:rPr>
        <w:t>显示为“允许分包流转”或“不允许分包流转”</w:t>
      </w:r>
      <w:r>
        <w:rPr>
          <w:rFonts w:hint="eastAsia" w:ascii="仿宋" w:hAnsi="仿宋" w:eastAsia="仿宋" w:cs="仿宋"/>
          <w:sz w:val="32"/>
          <w:szCs w:val="32"/>
        </w:rPr>
        <w:t>。</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13.承兑信息。包括出票人承诺：本汇票请予以承兑，到期无条件付款；承兑人承兑：本汇票已经承兑，到期无条件付款；承兑日期，承兑人承诺在承兑人同意签收前不得展示。承兑日期应为回复标记为“同意签收”的“通用业务应答报文（CIM.004）”或“票据详细信息下发（CIM.025）”中的承兑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14.承兑保证信息。包括：保证人名称、保证人地址、保证日期。保证人名称、保证人地址、保证日期应为“票据详细信息下发（CIM.025）”或“通用业务应答报文(CIM.004）”中保证人名称、保证人地址、保证日期。如有多名承兑保证人，则按时间先后顺序连续显示；承兑保证信息在承兑保证人同意签收前不得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15.承兑人评级信息。包括：评级主体、信用等级、评级到期日。评级主体、信用等级、评级到期日应为参与者服务机构发送支付信用查询报文后收到“业务参与者支付信用查询应答(MEM.012)”中的评级主体、信用等级、评级到期日。</w:t>
      </w:r>
    </w:p>
    <w:p>
      <w:pPr>
        <w:spacing w:line="590" w:lineRule="exact"/>
        <w:ind w:firstLine="643" w:firstLineChars="200"/>
        <w:rPr>
          <w:rFonts w:ascii="仿宋" w:hAnsi="仿宋" w:eastAsia="仿宋" w:cs="仿宋"/>
          <w:sz w:val="32"/>
          <w:szCs w:val="32"/>
        </w:rPr>
      </w:pPr>
      <w:r>
        <w:rPr>
          <w:rFonts w:hint="eastAsia" w:ascii="仿宋" w:hAnsi="仿宋" w:eastAsia="仿宋" w:cs="仿宋"/>
          <w:b/>
          <w:sz w:val="32"/>
          <w:szCs w:val="32"/>
        </w:rPr>
        <w:t>（三）电子银行承兑汇票附加信息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电子银行承兑汇票附加信息要素包括：票据相关信息、票据行为人详细信息、票据保证增信信息。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1.票据相关信息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（1）票据种类。银行承兑汇票。</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（2）风险票据类型。风险票据类型应为“票据详细信息下发（CIM.025）”中风险票据类型。</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（3）票据标注信息。参与者应根据“票据详细信息下发（CIM.025）”扩展信息中属性名及属性值进行展示。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（4）票据标注信息对应业务信息参与者应在对应标注信息下展示对应业务信息框，业务信息框可为多项（</w:t>
      </w:r>
      <w:r>
        <w:rPr>
          <w:rFonts w:hint="eastAsia" w:ascii="仿宋" w:hAnsi="仿宋" w:eastAsia="仿宋" w:cs="仿宋"/>
          <w:sz w:val="32"/>
          <w:szCs w:val="32"/>
          <w:lang w:eastAsia="zh-CN"/>
        </w:rPr>
        <w:t>框内信息</w:t>
      </w:r>
      <w:r>
        <w:rPr>
          <w:rFonts w:hint="eastAsia" w:ascii="仿宋" w:hAnsi="仿宋" w:eastAsia="仿宋" w:cs="仿宋"/>
          <w:sz w:val="32"/>
          <w:szCs w:val="32"/>
        </w:rPr>
        <w:t>以具体相关业务规则为准）。</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例1：保贴信息。包括：全称、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、开户银行名称、开户银行行号、开户银行账户</w:t>
      </w:r>
      <w:r>
        <w:rPr>
          <w:rFonts w:hint="eastAsia" w:ascii="仿宋" w:hAnsi="仿宋" w:eastAsia="仿宋" w:cs="仿宋"/>
          <w:sz w:val="32"/>
          <w:szCs w:val="32"/>
          <w:lang w:eastAsia="zh-CN"/>
        </w:rPr>
        <w:t>等信息</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例2：保兑信息。包括：全称、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、开户银行名称、开户银行行号、开户银行账户</w:t>
      </w:r>
      <w:r>
        <w:rPr>
          <w:rFonts w:hint="eastAsia" w:ascii="仿宋" w:hAnsi="仿宋" w:eastAsia="仿宋" w:cs="仿宋"/>
          <w:sz w:val="32"/>
          <w:szCs w:val="32"/>
          <w:lang w:eastAsia="zh-CN"/>
        </w:rPr>
        <w:t>等信息</w:t>
      </w:r>
      <w:r>
        <w:rPr>
          <w:rFonts w:hint="eastAsia" w:ascii="仿宋" w:hAnsi="仿宋" w:eastAsia="仿宋" w:cs="仿宋"/>
          <w:sz w:val="32"/>
          <w:szCs w:val="32"/>
        </w:rPr>
        <w:t>。</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例3：其他票据标注信息对应业务信息。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2.票据行为人详细信息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（1）出票人。包括：全称、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账户名称、业务办理渠道名称、托管账号、开户银行名称、开户银行行号、开户银行账户。业务办理渠道名称、开户银行名称应为“通用业务应答报文(CIM.004）”或“票据详细信息下发（CIM.025.001）”中的业务办理渠道名称、开户行机构参与者代码对应的开户行名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（2）收款人。包括：全称、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账户名称、业务办理渠道名称、托管账号、开户银行名称、开户银行行号、开户银行账户。业务办理渠道名称、开户银行名称应为“通用业务应答报文(CIM.004）”或“票据详细信息下发（CIM.025）”中的业务办理渠道名称、开户行机构参与者代码对应的开户行名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（3）承兑人。包括：全称、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账户名称、业务办理渠道名称、托管账号、开户银行名称、开户银行行号、开户银行账户。业务办理渠道名称、开户银行名称应为“通用业务应答报文(CIM.004）”或“票据详细信息下发（CIM.025）”中的业务办理渠道名称、开户行机构参与者代码对应的开户行名称。承兑人为金融机构的，账户名称、托管账号、开户银行账户字段为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3.票据保证增信信息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（1）出票人保证人。包括：全称、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、保证人地址、账户名称、业务办理渠道名称、托管账号、开户银行名称、开户银行行号、开户银行账户。全称、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、保证人地址应为“通用业务应答报文(CIM.004）”或“票据详细信息下发（CIM.025）”中的全称、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、保证人地址。出票保证人为金融机构的，账户名称、托管账号、开户银行账户字段为空。如有多名出票保证人，则按时间先后顺序连续显示。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（2）承兑人保证人。包括：全称、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、保证人地址、账户名称、业务办理渠道名称、托管账号、开户银行名称、开户银行行号、开户银行账户。全称、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、保证人地址应为“通用业务应答报文(CIM.004）”或“票据详细信息下发（CIM.025）”中的全称、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、保证人地址。承兑保证人为金融机构的，账户名称、托管账号、开户银行账户字段为空。如有多名承兑保证人，则按时间先后顺序连续显示。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（3）背书保证人。包括：全称、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、保证人地址、账户名称、业务办理渠道名称、托管账号、开户银行名称、开户银行行号、开户银行账户。全称、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、保证人地址应为“通用业务应答报文(CIM.004）”或“票据详细信息下发（CIM.025）”中的全称、</w:t>
      </w:r>
      <w:r>
        <w:rPr>
          <w:rFonts w:hint="eastAsia" w:ascii="仿宋" w:hAnsi="仿宋" w:eastAsia="仿宋" w:cs="仿宋"/>
          <w:sz w:val="32"/>
          <w:szCs w:val="32"/>
          <w:lang w:eastAsia="zh-CN"/>
        </w:rPr>
        <w:t>统一社会信用代码</w:t>
      </w:r>
      <w:r>
        <w:rPr>
          <w:rFonts w:hint="eastAsia" w:ascii="仿宋" w:hAnsi="仿宋" w:eastAsia="仿宋" w:cs="仿宋"/>
          <w:sz w:val="32"/>
          <w:szCs w:val="32"/>
        </w:rPr>
        <w:t>、保证人地址。背书保证人为金融机构的，账户名称、托管账号、开户银行账户字段为空。如有多名背书保证人，则按时间先后顺序连续显示。</w:t>
      </w:r>
    </w:p>
    <w:p>
      <w:pPr>
        <w:spacing w:line="590" w:lineRule="exact"/>
        <w:ind w:firstLine="643" w:firstLineChars="200"/>
        <w:rPr>
          <w:rFonts w:ascii="仿宋" w:hAnsi="仿宋" w:eastAsia="仿宋" w:cs="仿宋"/>
          <w:sz w:val="32"/>
          <w:szCs w:val="32"/>
        </w:rPr>
      </w:pPr>
      <w:r>
        <w:rPr>
          <w:rFonts w:hint="eastAsia" w:ascii="仿宋" w:hAnsi="仿宋" w:eastAsia="仿宋" w:cs="仿宋"/>
          <w:b/>
          <w:sz w:val="32"/>
          <w:szCs w:val="32"/>
        </w:rPr>
        <w:t>（四）电子银行承兑汇票票据背面展示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电子银行承兑汇票</w:t>
      </w:r>
      <w:r>
        <w:rPr>
          <w:rFonts w:hint="eastAsia" w:ascii="仿宋" w:hAnsi="仿宋" w:eastAsia="仿宋" w:cs="仿宋"/>
          <w:b/>
          <w:sz w:val="32"/>
          <w:szCs w:val="32"/>
        </w:rPr>
        <w:t>票据背面展示</w:t>
      </w:r>
      <w:r>
        <w:rPr>
          <w:rFonts w:hint="eastAsia" w:ascii="仿宋" w:hAnsi="仿宋" w:eastAsia="仿宋" w:cs="仿宋"/>
          <w:sz w:val="32"/>
          <w:szCs w:val="32"/>
        </w:rPr>
        <w:t>的要素包括：显示日期、“电子银行承兑汇票”字样、票据号码、背面信息。</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1.显示日期。同正面。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2.“电子银行承兑汇票”字样。与正面显示要求一致。</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3.票据号码。同正面。</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背面信息。业务类型包括：转让背书、保证、质押、买断式贴现、回购式贴现、回购式贴现赎回、存托、转贴现、非交易过户、质押式回购、质押式回购赎回、买断式回购、买断式回购赎回、买断式再贴现、质押式回购再贴现、质押式回购再贴现赎回、提示付款、追索清偿、再追索清偿。背面信息以实际业务发生的时间先后顺序显示。除提示付款日期、付款日期、追索日期、再追索日期、赎回开放日、赎回截止日和清偿日期外，背面信息中的“XX日期”，应为其相应的标记为“同意”的“通用业务应答报文（CIM.004）”或“票据详细信息下发（CIM.025）”中的应答日期，该日期以“yyyy-mm-dd”格式显示。票据行为只有在完成的情况下才显示，若票据处于待签收状态下，则不显示该手（‘XX’）信息。</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转让背书信息。包括：背书人名称、被背书人名称、不得转让标记、背书日期。背书人名称、被背书人名称、不得转让标记应为“票据详细信息下发（CIM.025）”或“通用业务应答报文(CIM.004）”中的背书人名称、被背书人名称；不得转让标记应为“票据详细信息下发（CIM.025）”中的不得转让标记。</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2）保证信息。包括：被保证人名称、保证人名称、保证人地址、保证日期。被保证人名称、保证人名称、保证人地址应为“票据详细信息下发（CIM.025）”或“通用业务应答报文(CIM.004）”中的被保证人名称、保证人名称、保证人地址。</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3）质押背书信息。包括：出质人名称、质权人名称、出质日期、质押解除日期。出质人名称、质权人名称应为“票据详细信息下发（CIM.025）”或“通用业务应答报文(CIM.004）”中的出质人名称、质权人名称。若未解除质押，则质押解除日期为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4）买断式贴现背书信息。包括：背书人名称、被背书人名称、不得转让标记、背书日期。背书人名称、被背书人名称、不得转让标记应为“票据详细信息下发（CIM.025）”或“通用业务应答报文(CIM.004）”中的贴现申请人名称、贴入人机构代码对应名称；不得转让标记应为“票据详细信息下发（CIM.025）”中的不得转让标记。</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5）回购式贴现背书信息。包括：背书人名称、被背书人名称、背书日期、赎回开放日、赎回截止日。背书人名称、被背书人名称、赎回开放日、赎回截止日应为“票据详细信息下发（CIM.025）”或“通用业务应答报文(CIM.004）”中的贴现申请人名称、贴入人机构代码对应名称、赎回开放日、赎回截止日。</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6）回购式贴现赎回背书信息。包括：背书人名称、被背书人名称、背书日期。背书人名称、被背书人名称应为“票据详细信息下发（CIM.025）”或“通用业务应答报文(CIM.004）”中的原贴入人机构代码对应名称、原贴现申请人名称。</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（7）存托背书信息。包括：背书人名称、被背书人名称、背书日期。背书人名称、被背书人名称应为“票据详细信息下发（CIM.025）”或“</w:t>
      </w:r>
      <w:bookmarkStart w:id="2723" w:name="_Toc7968885"/>
      <w:bookmarkStart w:id="2724" w:name="_Toc9837"/>
      <w:bookmarkStart w:id="2725" w:name="_Toc17805"/>
      <w:bookmarkStart w:id="2726" w:name="_Toc29657"/>
      <w:bookmarkStart w:id="2727" w:name="_Toc12579"/>
      <w:r>
        <w:rPr>
          <w:rFonts w:hint="eastAsia" w:ascii="仿宋" w:hAnsi="仿宋" w:eastAsia="仿宋" w:cs="仿宋"/>
          <w:sz w:val="32"/>
          <w:szCs w:val="32"/>
        </w:rPr>
        <w:t>交易业务确认报文（CES.010）</w:t>
      </w:r>
      <w:bookmarkEnd w:id="2723"/>
      <w:bookmarkEnd w:id="2724"/>
      <w:bookmarkEnd w:id="2725"/>
      <w:bookmarkEnd w:id="2726"/>
      <w:bookmarkEnd w:id="2727"/>
      <w:r>
        <w:rPr>
          <w:rFonts w:hint="eastAsia" w:ascii="仿宋" w:hAnsi="仿宋" w:eastAsia="仿宋" w:cs="仿宋"/>
          <w:sz w:val="32"/>
          <w:szCs w:val="32"/>
        </w:rPr>
        <w:t>”中的背书人名称、被背书人名称。</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8）转贴现背书信息。包括：背书人名称、被背书人名称、背书日期。背书人名称、被背书人名称应为“票据详细信息下发（CIM.025）”或“转贴现成交通知报文（CES.003）”的本方机构代码对应的贴出人名称、对方机构代码对应的贴入人名称。</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9）非交易过户背书信息。包括：背书人名称、被背书人名称、背书日期。背书人名称、被背书人名称应为“票据详细信息下发（CIM.025）”或“通用业务应答报文(CIM.004）”的本方机构代码对应的贴出人名称、对方机构代码对应的贴入人名称。</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10）质押式回购背书信息。包括：背书人名称、被背书人名称、背书日期。背书人名称、被背书人名称、背书日期应为“票据详细信息下发（CIM.025）”或“质押式回购成交通知报文（CES.006）”中的本方机构代码对应贴出人名称、对方机构代码对应贴入人名称、背书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（11）质押式回购赎回背书信息。包括：背书人名称、被背书人名称、背书日期。背书人名称、被背书人名称应为“票据详细信息下发（CIM.025）”或</w:t>
      </w:r>
      <w:bookmarkStart w:id="2728" w:name="OLE_LINK4"/>
      <w:r>
        <w:rPr>
          <w:rFonts w:hint="eastAsia" w:ascii="仿宋" w:hAnsi="仿宋" w:eastAsia="仿宋" w:cs="仿宋"/>
          <w:sz w:val="32"/>
          <w:szCs w:val="32"/>
        </w:rPr>
        <w:t>“通用结算结果通知报文</w:t>
      </w:r>
      <w:bookmarkEnd w:id="2728"/>
      <w:r>
        <w:rPr>
          <w:rFonts w:hint="eastAsia" w:ascii="仿宋" w:hAnsi="仿宋" w:eastAsia="仿宋" w:cs="仿宋"/>
          <w:sz w:val="32"/>
          <w:szCs w:val="32"/>
        </w:rPr>
        <w:t>（CAS.001）”到期清算成功时的原贴入人机构代码对应名称、原贴出人机构代码对应名称、背书日期。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12）买断式回购背书信息。包括：背书人名称、被背书人名称、背书日期。背书人名称、被背书人名称、背书日期应为“票据详细信息下发（CIM.025）”或“买断式回购成交通知报文（CES.009）”中的本方机构代码对应贴出人名称、对方机构代码对应贴入人名称、背书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（13）买断式</w:t>
      </w:r>
      <w:r>
        <w:rPr>
          <w:rFonts w:hint="eastAsia" w:ascii="仿宋" w:hAnsi="仿宋" w:eastAsia="仿宋" w:cs="仿宋"/>
          <w:sz w:val="32"/>
          <w:szCs w:val="32"/>
          <w:lang w:eastAsia="zh-Hans"/>
        </w:rPr>
        <w:t>回购</w:t>
      </w:r>
      <w:r>
        <w:rPr>
          <w:rFonts w:hint="eastAsia" w:ascii="仿宋" w:hAnsi="仿宋" w:eastAsia="仿宋" w:cs="仿宋"/>
          <w:sz w:val="32"/>
          <w:szCs w:val="32"/>
        </w:rPr>
        <w:t>赎回背书信息。包括：背书人名称、被背书人名称、背书日期。背书人名称、被背书人名称、背书日期应为“票据详细信息下发（CIM.025）”或“通用结算结果通知报文（CAS.001）”到期清算成功时的原贴入人机构代码对应名称、原贴出人机构代码对应名称、背书日期。</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14）买断式再贴现背书信息。包括：背书人名称、被背书人名称、背书日期。背书人名称、被背书人名称、背书日期应为“票据详细信息下发（CIM.025）”或“再贴现买断成交通知报文（CES.023）”中的申请机构代码对应名称、人民银行名称、背书日期。</w:t>
      </w:r>
    </w:p>
    <w:p>
      <w:pPr>
        <w:widowControl/>
        <w:spacing w:line="59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15）质押式回购再贴现背书信息。包括：背书人名称、被背书人名称、背书日期。背书人名称、被背书人名称、背书日期应为“票据详细信息下发（CIM.025）”或“再贴现质押式回购成交通知报文（CES.021）”中的申请机构代码对应名称、人民银行名称、背书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16）质押式回购再贴现赎回背书信息。包括：背书人名称、被背书人名称、背书日期。背书人名称、被背书人名称、背书日期应为“票据详细信息下发（CIM.025）”或“通用结算结果通知报文（CAS.001）”到期清算成功时的人民银行名称、原申请机构代码对应名称、背书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（17）提示付款信息。包括：提示付款人名称、提示付款日期、付款或拒付、付款或拒付日期、拒付理由。</w:t>
      </w:r>
      <w:r>
        <w:rPr>
          <w:rFonts w:hint="eastAsia" w:ascii="仿宋" w:hAnsi="仿宋" w:eastAsia="仿宋" w:cs="仿宋"/>
          <w:sz w:val="32"/>
          <w:szCs w:val="32"/>
          <w:lang w:eastAsia="zh-Hans"/>
        </w:rPr>
        <w:t>提示付款</w:t>
      </w:r>
      <w:r>
        <w:rPr>
          <w:rFonts w:hint="eastAsia" w:ascii="仿宋" w:hAnsi="仿宋" w:eastAsia="仿宋" w:cs="仿宋"/>
          <w:sz w:val="32"/>
          <w:szCs w:val="32"/>
        </w:rPr>
        <w:t>人名称、提示付款日期应为“票据详细信息下发（CIM.025）”或“通用业务通知报文（CIM.018）”或“通用业务应答报文(CIM.004）”中的提示付款人名称、提示付款申请日期。</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付款应根据“通用结算结果通知报文（CAS.001)”或“通用业务通知报文（CIM.018）中资金结算结果判断是否付款。</w:t>
      </w:r>
    </w:p>
    <w:p>
      <w:pPr>
        <w:shd w:val="clear" w:color="auto" w:fill="FFFFFF"/>
        <w:spacing w:line="590" w:lineRule="exact"/>
        <w:ind w:firstLine="640" w:firstLineChars="200"/>
        <w:rPr>
          <w:rFonts w:ascii="仿宋" w:hAnsi="仿宋" w:eastAsia="仿宋" w:cs="仿宋"/>
          <w:sz w:val="32"/>
          <w:szCs w:val="32"/>
          <w:highlight w:val="yellow"/>
        </w:rPr>
      </w:pPr>
      <w:r>
        <w:rPr>
          <w:rFonts w:hint="eastAsia" w:ascii="仿宋" w:hAnsi="仿宋" w:eastAsia="仿宋" w:cs="仿宋"/>
          <w:sz w:val="32"/>
          <w:szCs w:val="32"/>
        </w:rPr>
        <w:t>付款日期为“通用结算结果通知报文（CAS.001)”或“通用业务通知报文（CIM.018）”中的结算时间或业务时间。</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拒付、拒付日期、拒付理由应根据“通用业务应答报文(CIM.004）”中的提示付款应答标识对应的“拒付”类型、应答日期、拒付理由代码对应的拒付理由；或“通用业务通知报文（CIM.018）”的自动拒付应答信息、业务日期、拒付理由代码对应的拒付理由；或“通用结算结果通知报文（CAS.001)”、“通用业务通知报文（CIM.018）”中资金结算结果为失败的、结算时间或业务日期、拒付理由代码对应的拒付理由。</w:t>
      </w:r>
    </w:p>
    <w:p>
      <w:pPr>
        <w:shd w:val="clear" w:color="auto" w:fill="FFFFFF"/>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18）追索清偿信息。包括：追索人名称、同意清偿签收人名称、追索日期、追索类型、同意清偿签收日期。追索人名称、追索日期应为“票据详细信息下发（CIM.025）”或“追索同意清偿申请（NES.013）”或“通用业务应答报文(CIM.004）”</w:t>
      </w:r>
      <w:r>
        <w:rPr>
          <w:rFonts w:hint="eastAsia" w:ascii="仿宋" w:hAnsi="仿宋" w:eastAsia="仿宋" w:cs="仿宋"/>
          <w:sz w:val="32"/>
          <w:szCs w:val="32"/>
          <w:lang w:eastAsia="zh-Hans"/>
        </w:rPr>
        <w:t>中的追索人名称、</w:t>
      </w:r>
      <w:r>
        <w:rPr>
          <w:rFonts w:hint="eastAsia" w:ascii="仿宋" w:hAnsi="仿宋" w:eastAsia="仿宋" w:cs="仿宋"/>
          <w:sz w:val="32"/>
          <w:szCs w:val="32"/>
        </w:rPr>
        <w:t>同意</w:t>
      </w:r>
      <w:r>
        <w:rPr>
          <w:rFonts w:hint="eastAsia" w:ascii="仿宋" w:hAnsi="仿宋" w:eastAsia="仿宋" w:cs="仿宋"/>
          <w:sz w:val="32"/>
          <w:szCs w:val="32"/>
          <w:lang w:eastAsia="zh-Hans"/>
        </w:rPr>
        <w:t>清偿</w:t>
      </w:r>
      <w:r>
        <w:rPr>
          <w:rFonts w:hint="eastAsia" w:ascii="仿宋" w:hAnsi="仿宋" w:eastAsia="仿宋" w:cs="仿宋"/>
          <w:sz w:val="32"/>
          <w:szCs w:val="32"/>
        </w:rPr>
        <w:t>签收</w:t>
      </w:r>
      <w:r>
        <w:rPr>
          <w:rFonts w:hint="eastAsia" w:ascii="仿宋" w:hAnsi="仿宋" w:eastAsia="仿宋" w:cs="仿宋"/>
          <w:sz w:val="32"/>
          <w:szCs w:val="32"/>
          <w:lang w:eastAsia="zh-Hans"/>
        </w:rPr>
        <w:t>人名称、追索日期、</w:t>
      </w:r>
      <w:r>
        <w:rPr>
          <w:rFonts w:hint="eastAsia" w:ascii="仿宋" w:hAnsi="仿宋" w:eastAsia="仿宋" w:cs="仿宋"/>
          <w:sz w:val="32"/>
          <w:szCs w:val="32"/>
        </w:rPr>
        <w:t>同意清偿签收日期</w:t>
      </w:r>
      <w:r>
        <w:rPr>
          <w:rFonts w:hint="eastAsia" w:ascii="仿宋" w:hAnsi="仿宋" w:eastAsia="仿宋" w:cs="仿宋"/>
          <w:sz w:val="32"/>
          <w:szCs w:val="32"/>
          <w:lang w:eastAsia="zh-Hans"/>
        </w:rPr>
        <w:t>。</w:t>
      </w:r>
      <w:r>
        <w:rPr>
          <w:rFonts w:hint="eastAsia" w:ascii="仿宋" w:hAnsi="仿宋" w:eastAsia="仿宋" w:cs="仿宋"/>
          <w:sz w:val="32"/>
          <w:szCs w:val="32"/>
        </w:rPr>
        <w:t>追索类型字段内容为拒付追索(线上清算DVP/线下清算FOP)、非拒付追索(线上清算DVP/线下清算FOP)。</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（19）再追索</w:t>
      </w:r>
      <w:r>
        <w:rPr>
          <w:rFonts w:hint="eastAsia" w:ascii="仿宋" w:hAnsi="仿宋" w:eastAsia="仿宋" w:cs="仿宋"/>
          <w:sz w:val="32"/>
          <w:szCs w:val="32"/>
          <w:lang w:eastAsia="zh-Hans"/>
        </w:rPr>
        <w:t>清偿</w:t>
      </w:r>
      <w:r>
        <w:rPr>
          <w:rFonts w:hint="eastAsia" w:ascii="仿宋" w:hAnsi="仿宋" w:eastAsia="仿宋" w:cs="仿宋"/>
          <w:sz w:val="32"/>
          <w:szCs w:val="32"/>
        </w:rPr>
        <w:t>信息。同追索</w:t>
      </w:r>
      <w:r>
        <w:rPr>
          <w:rFonts w:hint="eastAsia" w:ascii="仿宋" w:hAnsi="仿宋" w:eastAsia="仿宋" w:cs="仿宋"/>
          <w:sz w:val="32"/>
          <w:szCs w:val="32"/>
          <w:lang w:eastAsia="zh-Hans"/>
        </w:rPr>
        <w:t>清偿信息</w:t>
      </w:r>
      <w:r>
        <w:rPr>
          <w:rFonts w:hint="eastAsia" w:ascii="仿宋" w:hAnsi="仿宋" w:eastAsia="仿宋" w:cs="仿宋"/>
          <w:sz w:val="32"/>
          <w:szCs w:val="32"/>
        </w:rPr>
        <w:t>。</w:t>
      </w:r>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二、电子财务公司承兑汇票票据展示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电子财务公司承兑汇票票据除正面、票据附加信息和背面显示为“电子财务公司承兑汇票”外，其他显示要素、样式要求与电子银行承兑汇票相同。</w:t>
      </w:r>
    </w:p>
    <w:p>
      <w:pPr>
        <w:spacing w:line="590" w:lineRule="exact"/>
        <w:ind w:firstLine="643" w:firstLineChars="200"/>
        <w:rPr>
          <w:rFonts w:ascii="仿宋" w:hAnsi="仿宋" w:eastAsia="仿宋" w:cs="仿宋"/>
          <w:b/>
          <w:sz w:val="32"/>
          <w:szCs w:val="32"/>
        </w:rPr>
      </w:pPr>
      <w:r>
        <w:rPr>
          <w:rFonts w:hint="eastAsia" w:ascii="仿宋" w:hAnsi="仿宋" w:eastAsia="仿宋" w:cs="仿宋"/>
          <w:b/>
          <w:sz w:val="32"/>
          <w:szCs w:val="32"/>
        </w:rPr>
        <w:t>三、电子商业承兑汇票票据展示</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电子商业承兑汇票票据除正面、票据附加信息和背面显示为“电子商业承兑汇票”、底色使用电子商业汇票底色外，其他显示要素、样式要求与电子银行承兑汇票相同。</w:t>
      </w:r>
    </w:p>
    <w:bookmarkEnd w:id="2585"/>
    <w:p>
      <w:pPr>
        <w:jc w:val="left"/>
      </w:pPr>
    </w:p>
    <w:p>
      <w:pPr>
        <w:jc w:val="left"/>
        <w:outlineLvl w:val="9"/>
        <w:rPr>
          <w:rFonts w:hint="eastAsia" w:ascii="楷体" w:hAnsi="楷体" w:eastAsia="楷体" w:cs="仿宋"/>
          <w:sz w:val="30"/>
        </w:rPr>
      </w:pPr>
      <w:bookmarkStart w:id="2729" w:name="_Toc4127"/>
      <w:bookmarkStart w:id="2730" w:name="_Toc3315"/>
      <w:bookmarkStart w:id="2731" w:name="_Toc4342"/>
      <w:bookmarkStart w:id="2732" w:name="_Toc23232"/>
      <w:bookmarkStart w:id="2733" w:name="_Toc27959"/>
      <w:bookmarkStart w:id="2734" w:name="_Toc21313"/>
      <w:bookmarkStart w:id="2735" w:name="_Toc5397"/>
      <w:bookmarkStart w:id="2736" w:name="_Toc18924"/>
      <w:bookmarkStart w:id="2737" w:name="_Toc18210"/>
      <w:bookmarkStart w:id="2738" w:name="_Toc5472"/>
      <w:bookmarkStart w:id="2739" w:name="_Toc27653"/>
      <w:r>
        <w:rPr>
          <w:rFonts w:hint="eastAsia" w:ascii="楷体" w:hAnsi="楷体" w:eastAsia="楷体" w:cs="仿宋"/>
          <w:sz w:val="30"/>
        </w:rPr>
        <w:br w:type="page"/>
      </w:r>
    </w:p>
    <w:p>
      <w:pPr>
        <w:jc w:val="left"/>
        <w:outlineLvl w:val="9"/>
        <w:rPr>
          <w:rFonts w:hint="eastAsia" w:ascii="楷体" w:hAnsi="楷体" w:eastAsia="楷体" w:cs="仿宋"/>
          <w:sz w:val="30"/>
        </w:rPr>
      </w:pPr>
      <w:r>
        <w:rPr>
          <w:rFonts w:hint="eastAsia" w:ascii="楷体" w:hAnsi="楷体" w:eastAsia="楷体" w:cs="仿宋"/>
          <w:sz w:val="30"/>
        </w:rPr>
        <w:t>附</w:t>
      </w:r>
      <w:r>
        <w:rPr>
          <w:rFonts w:hint="eastAsia" w:ascii="楷体" w:hAnsi="楷体" w:eastAsia="楷体" w:cs="仿宋"/>
          <w:sz w:val="30"/>
          <w:lang w:val="en-US" w:eastAsia="zh-CN"/>
        </w:rPr>
        <w:t>2-</w:t>
      </w:r>
      <w:r>
        <w:rPr>
          <w:rFonts w:hint="eastAsia" w:ascii="楷体" w:hAnsi="楷体" w:eastAsia="楷体" w:cs="仿宋"/>
          <w:sz w:val="30"/>
        </w:rPr>
        <w:t>1</w:t>
      </w:r>
      <w:r>
        <w:rPr>
          <w:rFonts w:ascii="楷体" w:hAnsi="楷体" w:eastAsia="楷体" w:cs="仿宋"/>
          <w:sz w:val="30"/>
        </w:rPr>
        <w:t>.</w:t>
      </w:r>
      <w:r>
        <w:rPr>
          <w:rFonts w:hint="eastAsia" w:ascii="楷体" w:hAnsi="楷体" w:eastAsia="楷体" w:cs="仿宋"/>
          <w:sz w:val="30"/>
        </w:rPr>
        <w:t>票据正面</w:t>
      </w:r>
      <w:r>
        <w:rPr>
          <w:rFonts w:hint="eastAsia" w:ascii="楷体" w:hAnsi="楷体" w:eastAsia="楷体" w:cs="仿宋"/>
          <w:sz w:val="30"/>
          <w:lang w:eastAsia="zh-CN"/>
        </w:rPr>
        <w:t>、</w:t>
      </w:r>
      <w:r>
        <w:rPr>
          <w:rFonts w:hint="eastAsia" w:ascii="楷体" w:hAnsi="楷体" w:eastAsia="楷体" w:cs="仿宋"/>
          <w:sz w:val="30"/>
        </w:rPr>
        <w:t>票据附加信息</w:t>
      </w:r>
    </w:p>
    <w:p>
      <w:pPr>
        <w:jc w:val="left"/>
        <w:outlineLvl w:val="9"/>
        <w:rPr>
          <w:rFonts w:hint="default" w:ascii="楷体" w:hAnsi="楷体" w:eastAsia="楷体" w:cs="仿宋"/>
          <w:sz w:val="30"/>
          <w:lang w:val="en-US" w:eastAsia="zh-CN"/>
        </w:rPr>
      </w:pPr>
      <w:r>
        <w:rPr>
          <w:rFonts w:hint="eastAsia" w:ascii="楷体" w:hAnsi="楷体" w:eastAsia="楷体" w:cs="仿宋"/>
          <w:sz w:val="30"/>
          <w:lang w:val="en-US" w:eastAsia="zh-CN"/>
        </w:rPr>
        <w:t>票据正面：</w:t>
      </w:r>
    </w:p>
    <w:p>
      <w:pPr>
        <w:jc w:val="center"/>
        <w:outlineLvl w:val="9"/>
      </w:pPr>
      <w:r>
        <w:drawing>
          <wp:inline distT="0" distB="0" distL="114300" distR="114300">
            <wp:extent cx="4764405" cy="3315335"/>
            <wp:effectExtent l="0" t="0" r="1079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4764405" cy="3315335"/>
                    </a:xfrm>
                    <a:prstGeom prst="rect">
                      <a:avLst/>
                    </a:prstGeom>
                    <a:noFill/>
                    <a:ln>
                      <a:noFill/>
                    </a:ln>
                  </pic:spPr>
                </pic:pic>
              </a:graphicData>
            </a:graphic>
          </wp:inline>
        </w:drawing>
      </w:r>
    </w:p>
    <w:p>
      <w:pPr>
        <w:jc w:val="left"/>
        <w:outlineLvl w:val="9"/>
        <w:rPr>
          <w:rFonts w:ascii="楷体" w:hAnsi="楷体" w:eastAsia="楷体" w:cs="仿宋"/>
          <w:sz w:val="30"/>
        </w:rPr>
      </w:pPr>
      <w:r>
        <w:rPr>
          <w:rFonts w:hint="eastAsia" w:ascii="楷体" w:hAnsi="楷体" w:eastAsia="楷体" w:cs="仿宋"/>
          <w:sz w:val="30"/>
        </w:rPr>
        <w:t>票据附加信息</w:t>
      </w:r>
      <w:r>
        <w:rPr>
          <w:rFonts w:hint="eastAsia" w:ascii="楷体" w:hAnsi="楷体" w:eastAsia="楷体" w:cs="仿宋"/>
          <w:sz w:val="30"/>
          <w:lang w:eastAsia="zh-CN"/>
        </w:rPr>
        <w:t>：</w:t>
      </w:r>
    </w:p>
    <w:p>
      <w:pPr>
        <w:jc w:val="center"/>
        <w:outlineLvl w:val="9"/>
        <w:rPr>
          <w:rFonts w:ascii="楷体" w:hAnsi="楷体" w:eastAsia="楷体" w:cs="仿宋"/>
          <w:sz w:val="30"/>
        </w:rPr>
      </w:pPr>
      <w:r>
        <w:drawing>
          <wp:inline distT="0" distB="0" distL="114300" distR="114300">
            <wp:extent cx="4575810" cy="4109085"/>
            <wp:effectExtent l="0" t="0" r="889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575810" cy="4109085"/>
                    </a:xfrm>
                    <a:prstGeom prst="rect">
                      <a:avLst/>
                    </a:prstGeom>
                    <a:noFill/>
                    <a:ln>
                      <a:noFill/>
                    </a:ln>
                  </pic:spPr>
                </pic:pic>
              </a:graphicData>
            </a:graphic>
          </wp:inline>
        </w:drawing>
      </w:r>
    </w:p>
    <w:p>
      <w:pPr>
        <w:outlineLvl w:val="9"/>
        <w:rPr>
          <w:rFonts w:hint="eastAsia"/>
        </w:rPr>
      </w:pPr>
    </w:p>
    <w:p>
      <w:pPr>
        <w:jc w:val="left"/>
        <w:outlineLvl w:val="9"/>
        <w:rPr>
          <w:rFonts w:hint="eastAsia" w:ascii="楷体" w:hAnsi="楷体" w:eastAsia="楷体" w:cs="仿宋"/>
          <w:sz w:val="30"/>
        </w:rPr>
      </w:pPr>
      <w:r>
        <w:rPr>
          <w:rFonts w:hint="eastAsia" w:ascii="楷体" w:hAnsi="楷体" w:eastAsia="楷体" w:cs="仿宋"/>
          <w:sz w:val="30"/>
          <w:lang w:val="en-US" w:eastAsia="zh-CN"/>
        </w:rPr>
        <w:t>票据正面、票据附加信息的</w:t>
      </w:r>
      <w:r>
        <w:rPr>
          <w:rFonts w:hint="eastAsia" w:ascii="楷体" w:hAnsi="楷体" w:eastAsia="楷体" w:cs="仿宋"/>
          <w:sz w:val="30"/>
        </w:rPr>
        <w:t>图样</w:t>
      </w:r>
      <w:r>
        <w:rPr>
          <w:rFonts w:hint="eastAsia" w:ascii="楷体" w:hAnsi="楷体" w:eastAsia="楷体" w:cs="仿宋"/>
          <w:sz w:val="30"/>
          <w:lang w:val="en-US" w:eastAsia="zh-CN"/>
        </w:rPr>
        <w:t>示例</w:t>
      </w:r>
      <w:r>
        <w:rPr>
          <w:rFonts w:hint="eastAsia" w:ascii="楷体" w:hAnsi="楷体" w:eastAsia="楷体" w:cs="仿宋"/>
          <w:sz w:val="30"/>
        </w:rPr>
        <w:t>：</w:t>
      </w:r>
    </w:p>
    <w:p>
      <w:pPr>
        <w:jc w:val="center"/>
        <w:outlineLvl w:val="9"/>
        <w:rPr>
          <w:rFonts w:eastAsia="宋体"/>
        </w:rPr>
      </w:pPr>
      <w:r>
        <w:drawing>
          <wp:inline distT="0" distB="0" distL="114300" distR="114300">
            <wp:extent cx="5357495" cy="6785610"/>
            <wp:effectExtent l="0" t="0" r="14605" b="15240"/>
            <wp:docPr id="14" name="图片 14" descr="票样正面（正面+附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票样正面（正面+附加）"/>
                    <pic:cNvPicPr>
                      <a:picLocks noChangeAspect="1"/>
                    </pic:cNvPicPr>
                  </pic:nvPicPr>
                  <pic:blipFill>
                    <a:blip r:embed="rId16"/>
                    <a:srcRect b="28761"/>
                    <a:stretch>
                      <a:fillRect/>
                    </a:stretch>
                  </pic:blipFill>
                  <pic:spPr>
                    <a:xfrm>
                      <a:off x="0" y="0"/>
                      <a:ext cx="5357495" cy="6785610"/>
                    </a:xfrm>
                    <a:prstGeom prst="rect">
                      <a:avLst/>
                    </a:prstGeom>
                  </pic:spPr>
                </pic:pic>
              </a:graphicData>
            </a:graphic>
          </wp:inline>
        </w:drawing>
      </w:r>
    </w:p>
    <w:p>
      <w:pPr>
        <w:jc w:val="center"/>
        <w:outlineLvl w:val="9"/>
      </w:pPr>
    </w:p>
    <w:p>
      <w:pPr>
        <w:jc w:val="left"/>
        <w:outlineLvl w:val="9"/>
      </w:pPr>
      <w:r>
        <w:br w:type="page"/>
      </w:r>
    </w:p>
    <w:p>
      <w:pPr>
        <w:jc w:val="left"/>
        <w:outlineLvl w:val="9"/>
        <w:rPr>
          <w:rFonts w:ascii="楷体" w:hAnsi="楷体" w:eastAsia="楷体" w:cs="仿宋"/>
          <w:sz w:val="30"/>
        </w:rPr>
      </w:pPr>
      <w:r>
        <w:rPr>
          <w:rFonts w:ascii="楷体" w:hAnsi="楷体" w:eastAsia="楷体" w:cs="仿宋"/>
          <w:sz w:val="30"/>
          <w:lang w:eastAsia="zh-Hans"/>
        </w:rPr>
        <w:t>附</w:t>
      </w:r>
      <w:r>
        <w:rPr>
          <w:rFonts w:hint="eastAsia" w:ascii="楷体" w:hAnsi="楷体" w:eastAsia="楷体" w:cs="仿宋"/>
          <w:sz w:val="30"/>
          <w:lang w:val="en-US" w:eastAsia="zh-CN"/>
        </w:rPr>
        <w:t>2-2</w:t>
      </w:r>
      <w:r>
        <w:rPr>
          <w:rFonts w:hint="eastAsia" w:ascii="楷体" w:hAnsi="楷体" w:eastAsia="楷体" w:cs="仿宋"/>
          <w:sz w:val="30"/>
        </w:rPr>
        <w:t>.票据背面</w:t>
      </w:r>
    </w:p>
    <w:tbl>
      <w:tblPr>
        <w:tblStyle w:val="18"/>
        <w:tblW w:w="8522" w:type="dxa"/>
        <w:tblInd w:w="0" w:type="dxa"/>
        <w:tblLayout w:type="fixed"/>
        <w:tblCellMar>
          <w:top w:w="0" w:type="dxa"/>
          <w:left w:w="108" w:type="dxa"/>
          <w:bottom w:w="0" w:type="dxa"/>
          <w:right w:w="108" w:type="dxa"/>
        </w:tblCellMar>
      </w:tblPr>
      <w:tblGrid>
        <w:gridCol w:w="1216"/>
        <w:gridCol w:w="2241"/>
        <w:gridCol w:w="877"/>
        <w:gridCol w:w="1046"/>
        <w:gridCol w:w="1046"/>
        <w:gridCol w:w="1047"/>
        <w:gridCol w:w="1049"/>
      </w:tblGrid>
      <w:tr>
        <w:tblPrEx>
          <w:tblLayout w:type="fixed"/>
          <w:tblCellMar>
            <w:top w:w="0" w:type="dxa"/>
            <w:left w:w="108" w:type="dxa"/>
            <w:bottom w:w="0" w:type="dxa"/>
            <w:right w:w="108" w:type="dxa"/>
          </w:tblCellMar>
        </w:tblPrEx>
        <w:trPr>
          <w:trHeight w:val="280" w:hRule="atLeast"/>
        </w:trPr>
        <w:tc>
          <w:tcPr>
            <w:tcW w:w="1216" w:type="dxa"/>
            <w:tcBorders>
              <w:top w:val="nil"/>
              <w:left w:val="nil"/>
              <w:bottom w:val="nil"/>
              <w:right w:val="nil"/>
            </w:tcBorders>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显示日期：</w:t>
            </w:r>
          </w:p>
        </w:tc>
        <w:tc>
          <w:tcPr>
            <w:tcW w:w="2241" w:type="dxa"/>
            <w:tcBorders>
              <w:top w:val="nil"/>
              <w:left w:val="nil"/>
              <w:bottom w:val="nil"/>
              <w:right w:val="nil"/>
            </w:tcBorders>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YYYY-MM-DD HH:MM</w:t>
            </w:r>
          </w:p>
        </w:tc>
        <w:tc>
          <w:tcPr>
            <w:tcW w:w="877" w:type="dxa"/>
            <w:tcBorders>
              <w:top w:val="nil"/>
              <w:left w:val="nil"/>
              <w:bottom w:val="nil"/>
              <w:right w:val="nil"/>
            </w:tcBorders>
            <w:noWrap/>
            <w:vAlign w:val="center"/>
          </w:tcPr>
          <w:p>
            <w:pPr>
              <w:widowControl/>
              <w:jc w:val="left"/>
              <w:rPr>
                <w:rFonts w:ascii="宋体" w:hAnsi="宋体" w:cs="宋体"/>
                <w:color w:val="000000"/>
                <w:kern w:val="0"/>
                <w:sz w:val="20"/>
                <w:szCs w:val="20"/>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7" w:type="dxa"/>
            <w:tcBorders>
              <w:top w:val="nil"/>
              <w:left w:val="nil"/>
              <w:bottom w:val="nil"/>
              <w:right w:val="nil"/>
            </w:tcBorders>
            <w:noWrap/>
            <w:vAlign w:val="center"/>
          </w:tcPr>
          <w:p>
            <w:pPr>
              <w:widowControl/>
              <w:jc w:val="left"/>
              <w:rPr>
                <w:rFonts w:eastAsia="Times New Roman"/>
                <w:kern w:val="0"/>
                <w:sz w:val="16"/>
                <w:szCs w:val="21"/>
              </w:rPr>
            </w:pPr>
          </w:p>
        </w:tc>
        <w:tc>
          <w:tcPr>
            <w:tcW w:w="1049" w:type="dxa"/>
            <w:tcBorders>
              <w:top w:val="nil"/>
              <w:left w:val="nil"/>
              <w:bottom w:val="nil"/>
              <w:right w:val="nil"/>
            </w:tcBorders>
            <w:noWrap/>
            <w:vAlign w:val="center"/>
          </w:tcPr>
          <w:p>
            <w:pPr>
              <w:widowControl/>
              <w:jc w:val="left"/>
              <w:rPr>
                <w:rFonts w:eastAsia="Times New Roman"/>
                <w:kern w:val="0"/>
                <w:sz w:val="16"/>
                <w:szCs w:val="21"/>
              </w:rPr>
            </w:pPr>
          </w:p>
        </w:tc>
      </w:tr>
      <w:tr>
        <w:tblPrEx>
          <w:tblLayout w:type="fixed"/>
          <w:tblCellMar>
            <w:top w:w="0" w:type="dxa"/>
            <w:left w:w="108" w:type="dxa"/>
            <w:bottom w:w="0" w:type="dxa"/>
            <w:right w:w="108" w:type="dxa"/>
          </w:tblCellMar>
        </w:tblPrEx>
        <w:trPr>
          <w:trHeight w:val="570" w:hRule="atLeast"/>
        </w:trPr>
        <w:tc>
          <w:tcPr>
            <w:tcW w:w="8522" w:type="dxa"/>
            <w:gridSpan w:val="7"/>
            <w:tcBorders>
              <w:top w:val="nil"/>
              <w:left w:val="nil"/>
              <w:bottom w:val="nil"/>
              <w:right w:val="nil"/>
            </w:tcBorders>
            <w:noWrap/>
            <w:vAlign w:val="center"/>
          </w:tcPr>
          <w:p>
            <w:pPr>
              <w:widowControl/>
              <w:jc w:val="center"/>
              <w:rPr>
                <w:rFonts w:ascii="宋体" w:hAnsi="宋体" w:cs="宋体"/>
                <w:b/>
                <w:bCs/>
                <w:color w:val="000000"/>
                <w:kern w:val="0"/>
                <w:sz w:val="32"/>
                <w:szCs w:val="32"/>
              </w:rPr>
            </w:pPr>
            <w:r>
              <w:rPr>
                <w:rFonts w:hint="eastAsia" w:ascii="宋体" w:hAnsi="宋体" w:cs="宋体"/>
                <w:b/>
                <w:bCs/>
                <w:color w:val="000000"/>
                <w:kern w:val="0"/>
                <w:sz w:val="28"/>
                <w:szCs w:val="28"/>
              </w:rPr>
              <w:t>电子银行/财务公司/商业承兑汇票</w:t>
            </w:r>
          </w:p>
        </w:tc>
      </w:tr>
      <w:tr>
        <w:tblPrEx>
          <w:tblLayout w:type="fixed"/>
          <w:tblCellMar>
            <w:top w:w="0" w:type="dxa"/>
            <w:left w:w="108" w:type="dxa"/>
            <w:bottom w:w="0" w:type="dxa"/>
            <w:right w:w="108" w:type="dxa"/>
          </w:tblCellMar>
        </w:tblPrEx>
        <w:trPr>
          <w:trHeight w:val="280" w:hRule="atLeast"/>
        </w:trPr>
        <w:tc>
          <w:tcPr>
            <w:tcW w:w="1216" w:type="dxa"/>
            <w:tcBorders>
              <w:top w:val="nil"/>
              <w:left w:val="nil"/>
              <w:bottom w:val="nil"/>
              <w:right w:val="nil"/>
            </w:tcBorders>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票据号码：</w:t>
            </w:r>
          </w:p>
        </w:tc>
        <w:tc>
          <w:tcPr>
            <w:tcW w:w="2241" w:type="dxa"/>
            <w:tcBorders>
              <w:top w:val="nil"/>
              <w:left w:val="nil"/>
              <w:bottom w:val="nil"/>
              <w:right w:val="nil"/>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票据（包）号</w:t>
            </w:r>
          </w:p>
        </w:tc>
        <w:tc>
          <w:tcPr>
            <w:tcW w:w="877" w:type="dxa"/>
            <w:tcBorders>
              <w:top w:val="nil"/>
              <w:left w:val="nil"/>
              <w:bottom w:val="nil"/>
              <w:right w:val="nil"/>
            </w:tcBorders>
            <w:noWrap/>
            <w:vAlign w:val="center"/>
          </w:tcPr>
          <w:p>
            <w:pPr>
              <w:widowControl/>
              <w:jc w:val="left"/>
              <w:rPr>
                <w:rFonts w:ascii="宋体" w:hAnsi="宋体" w:cs="宋体"/>
                <w:color w:val="FF0000"/>
                <w:kern w:val="0"/>
                <w:sz w:val="20"/>
                <w:szCs w:val="20"/>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7" w:type="dxa"/>
            <w:tcBorders>
              <w:top w:val="nil"/>
              <w:left w:val="nil"/>
              <w:bottom w:val="nil"/>
              <w:right w:val="nil"/>
            </w:tcBorders>
            <w:noWrap/>
            <w:vAlign w:val="center"/>
          </w:tcPr>
          <w:p>
            <w:pPr>
              <w:widowControl/>
              <w:jc w:val="left"/>
              <w:rPr>
                <w:rFonts w:eastAsia="Times New Roman"/>
                <w:kern w:val="0"/>
                <w:sz w:val="16"/>
                <w:szCs w:val="21"/>
              </w:rPr>
            </w:pPr>
          </w:p>
        </w:tc>
        <w:tc>
          <w:tcPr>
            <w:tcW w:w="1049" w:type="dxa"/>
            <w:tcBorders>
              <w:top w:val="nil"/>
              <w:left w:val="nil"/>
              <w:bottom w:val="nil"/>
              <w:right w:val="nil"/>
            </w:tcBorders>
            <w:noWrap/>
            <w:vAlign w:val="center"/>
          </w:tcPr>
          <w:p>
            <w:pPr>
              <w:widowControl/>
              <w:jc w:val="left"/>
              <w:rPr>
                <w:rFonts w:eastAsia="Times New Roman"/>
                <w:kern w:val="0"/>
                <w:sz w:val="16"/>
                <w:szCs w:val="21"/>
              </w:rPr>
            </w:pPr>
          </w:p>
        </w:tc>
      </w:tr>
      <w:tr>
        <w:tblPrEx>
          <w:tblLayout w:type="fixed"/>
          <w:tblCellMar>
            <w:top w:w="0" w:type="dxa"/>
            <w:left w:w="108" w:type="dxa"/>
            <w:bottom w:w="0" w:type="dxa"/>
            <w:right w:w="108" w:type="dxa"/>
          </w:tblCellMar>
        </w:tblPrEx>
        <w:trPr>
          <w:trHeight w:val="280" w:hRule="atLeast"/>
        </w:trPr>
        <w:tc>
          <w:tcPr>
            <w:tcW w:w="1216" w:type="dxa"/>
            <w:tcBorders>
              <w:top w:val="nil"/>
              <w:left w:val="nil"/>
              <w:bottom w:val="nil"/>
              <w:right w:val="nil"/>
            </w:tcBorders>
            <w:noWrap/>
            <w:vAlign w:val="center"/>
          </w:tcPr>
          <w:p>
            <w:pPr>
              <w:widowControl/>
              <w:jc w:val="left"/>
              <w:rPr>
                <w:rFonts w:eastAsia="Times New Roman"/>
                <w:kern w:val="0"/>
                <w:sz w:val="16"/>
                <w:szCs w:val="21"/>
              </w:rPr>
            </w:pPr>
          </w:p>
        </w:tc>
        <w:tc>
          <w:tcPr>
            <w:tcW w:w="2241" w:type="dxa"/>
            <w:tcBorders>
              <w:top w:val="nil"/>
              <w:left w:val="nil"/>
              <w:bottom w:val="nil"/>
              <w:right w:val="nil"/>
            </w:tcBorders>
            <w:noWrap/>
            <w:vAlign w:val="center"/>
          </w:tcPr>
          <w:p>
            <w:pPr>
              <w:widowControl/>
              <w:jc w:val="left"/>
              <w:rPr>
                <w:rFonts w:ascii="宋体" w:hAnsi="宋体" w:cs="宋体"/>
                <w:kern w:val="0"/>
                <w:sz w:val="20"/>
                <w:szCs w:val="20"/>
              </w:rPr>
            </w:pPr>
            <w:r>
              <w:rPr>
                <w:rFonts w:hint="eastAsia" w:ascii="宋体" w:hAnsi="宋体" w:cs="宋体"/>
                <w:kern w:val="0"/>
                <w:sz w:val="20"/>
                <w:szCs w:val="20"/>
              </w:rPr>
              <w:t>子票区间</w:t>
            </w:r>
          </w:p>
        </w:tc>
        <w:tc>
          <w:tcPr>
            <w:tcW w:w="877" w:type="dxa"/>
            <w:tcBorders>
              <w:top w:val="nil"/>
              <w:left w:val="nil"/>
              <w:bottom w:val="nil"/>
              <w:right w:val="nil"/>
            </w:tcBorders>
            <w:noWrap/>
            <w:vAlign w:val="center"/>
          </w:tcPr>
          <w:p>
            <w:pPr>
              <w:widowControl/>
              <w:jc w:val="left"/>
              <w:rPr>
                <w:rFonts w:ascii="宋体" w:hAnsi="宋体" w:cs="宋体"/>
                <w:color w:val="FF0000"/>
                <w:kern w:val="0"/>
                <w:sz w:val="20"/>
                <w:szCs w:val="20"/>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7" w:type="dxa"/>
            <w:tcBorders>
              <w:top w:val="nil"/>
              <w:left w:val="nil"/>
              <w:bottom w:val="nil"/>
              <w:right w:val="nil"/>
            </w:tcBorders>
            <w:noWrap/>
            <w:vAlign w:val="center"/>
          </w:tcPr>
          <w:p>
            <w:pPr>
              <w:widowControl/>
              <w:jc w:val="left"/>
              <w:rPr>
                <w:rFonts w:eastAsia="Times New Roman"/>
                <w:kern w:val="0"/>
                <w:sz w:val="16"/>
                <w:szCs w:val="21"/>
              </w:rPr>
            </w:pPr>
          </w:p>
        </w:tc>
        <w:tc>
          <w:tcPr>
            <w:tcW w:w="1049" w:type="dxa"/>
            <w:tcBorders>
              <w:top w:val="nil"/>
              <w:left w:val="nil"/>
              <w:bottom w:val="nil"/>
              <w:right w:val="nil"/>
            </w:tcBorders>
            <w:noWrap/>
            <w:vAlign w:val="center"/>
          </w:tcPr>
          <w:p>
            <w:pPr>
              <w:widowControl/>
              <w:jc w:val="left"/>
              <w:rPr>
                <w:rFonts w:eastAsia="Times New Roman"/>
                <w:kern w:val="0"/>
                <w:sz w:val="16"/>
                <w:szCs w:val="21"/>
              </w:rPr>
            </w:pPr>
          </w:p>
        </w:tc>
      </w:tr>
      <w:tr>
        <w:tblPrEx>
          <w:tblLayout w:type="fixed"/>
          <w:tblCellMar>
            <w:top w:w="0" w:type="dxa"/>
            <w:left w:w="108" w:type="dxa"/>
            <w:bottom w:w="0" w:type="dxa"/>
            <w:right w:w="108" w:type="dxa"/>
          </w:tblCellMar>
        </w:tblPrEx>
        <w:trPr>
          <w:trHeight w:val="280" w:hRule="atLeast"/>
        </w:trPr>
        <w:tc>
          <w:tcPr>
            <w:tcW w:w="1216" w:type="dxa"/>
            <w:tcBorders>
              <w:top w:val="nil"/>
              <w:left w:val="nil"/>
              <w:bottom w:val="nil"/>
              <w:right w:val="nil"/>
            </w:tcBorders>
            <w:noWrap/>
            <w:vAlign w:val="center"/>
          </w:tcPr>
          <w:p>
            <w:pPr>
              <w:widowControl/>
              <w:jc w:val="left"/>
              <w:rPr>
                <w:rFonts w:eastAsia="Times New Roman"/>
                <w:kern w:val="0"/>
                <w:sz w:val="16"/>
                <w:szCs w:val="21"/>
              </w:rPr>
            </w:pPr>
          </w:p>
        </w:tc>
        <w:tc>
          <w:tcPr>
            <w:tcW w:w="2241" w:type="dxa"/>
            <w:tcBorders>
              <w:top w:val="nil"/>
              <w:left w:val="nil"/>
              <w:bottom w:val="nil"/>
              <w:right w:val="nil"/>
            </w:tcBorders>
            <w:noWrap/>
            <w:vAlign w:val="center"/>
          </w:tcPr>
          <w:p>
            <w:pPr>
              <w:widowControl/>
              <w:jc w:val="left"/>
              <w:rPr>
                <w:rFonts w:eastAsia="Times New Roman"/>
                <w:kern w:val="0"/>
                <w:sz w:val="16"/>
                <w:szCs w:val="21"/>
              </w:rPr>
            </w:pPr>
          </w:p>
        </w:tc>
        <w:tc>
          <w:tcPr>
            <w:tcW w:w="877" w:type="dxa"/>
            <w:tcBorders>
              <w:top w:val="nil"/>
              <w:left w:val="nil"/>
              <w:bottom w:val="nil"/>
              <w:right w:val="nil"/>
            </w:tcBorders>
            <w:noWrap/>
            <w:vAlign w:val="center"/>
          </w:tcPr>
          <w:p>
            <w:pPr>
              <w:widowControl/>
              <w:jc w:val="left"/>
              <w:rPr>
                <w:rFonts w:eastAsia="Times New Roman"/>
                <w:kern w:val="0"/>
                <w:sz w:val="16"/>
                <w:szCs w:val="21"/>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6" w:type="dxa"/>
            <w:tcBorders>
              <w:top w:val="nil"/>
              <w:left w:val="nil"/>
              <w:bottom w:val="nil"/>
              <w:right w:val="nil"/>
            </w:tcBorders>
            <w:noWrap/>
            <w:vAlign w:val="center"/>
          </w:tcPr>
          <w:p>
            <w:pPr>
              <w:widowControl/>
              <w:jc w:val="left"/>
              <w:rPr>
                <w:rFonts w:eastAsia="Times New Roman"/>
                <w:kern w:val="0"/>
                <w:sz w:val="16"/>
                <w:szCs w:val="21"/>
              </w:rPr>
            </w:pPr>
          </w:p>
        </w:tc>
        <w:tc>
          <w:tcPr>
            <w:tcW w:w="1047" w:type="dxa"/>
            <w:tcBorders>
              <w:top w:val="nil"/>
              <w:left w:val="nil"/>
              <w:bottom w:val="nil"/>
              <w:right w:val="nil"/>
            </w:tcBorders>
            <w:noWrap/>
            <w:vAlign w:val="center"/>
          </w:tcPr>
          <w:p>
            <w:pPr>
              <w:widowControl/>
              <w:jc w:val="left"/>
              <w:rPr>
                <w:rFonts w:eastAsia="Times New Roman"/>
                <w:kern w:val="0"/>
                <w:sz w:val="16"/>
                <w:szCs w:val="21"/>
              </w:rPr>
            </w:pPr>
          </w:p>
        </w:tc>
        <w:tc>
          <w:tcPr>
            <w:tcW w:w="1049" w:type="dxa"/>
            <w:tcBorders>
              <w:top w:val="nil"/>
              <w:left w:val="nil"/>
              <w:bottom w:val="nil"/>
              <w:right w:val="nil"/>
            </w:tcBorders>
            <w:noWrap/>
            <w:vAlign w:val="center"/>
          </w:tcPr>
          <w:p>
            <w:pPr>
              <w:widowControl/>
              <w:jc w:val="left"/>
              <w:rPr>
                <w:rFonts w:eastAsia="Times New Roman"/>
                <w:kern w:val="0"/>
                <w:sz w:val="16"/>
                <w:szCs w:val="21"/>
              </w:rPr>
            </w:pP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转让背书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不得转让标记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保证</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被保证人名称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保证人名称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保证人地址</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保证日期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出质人名称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质权人名称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出质日期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质押解除日期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买断式贴现背书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不得转让标记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回购式贴现背书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赎回开放日</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赎回截止日</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回购式贴现赎回背书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存托背书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转贴现背书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非交易过户背书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质押式回购背书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质押式回购赎回背书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买断式回购背书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买断式回购赎回背书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买断式再贴现背书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质押式回购再贴现背书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质押式回购再贴现赎回背书</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被背书人名称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背书日期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提示付款</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提示付款人名称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提示付款日期</w:t>
            </w:r>
          </w:p>
        </w:tc>
        <w:tc>
          <w:tcPr>
            <w:tcW w:w="5065" w:type="dxa"/>
            <w:gridSpan w:val="5"/>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付款或拒付</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付款或拒付日期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拒付理由</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追索清偿</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同意清偿签收人名称</w:t>
            </w:r>
          </w:p>
        </w:tc>
        <w:tc>
          <w:tcPr>
            <w:tcW w:w="5065" w:type="dxa"/>
            <w:gridSpan w:val="5"/>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追索类型</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同意清偿签收日期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8522"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再追索清偿</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同意清偿签收人名称</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追索日期</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追索类型</w:t>
            </w:r>
          </w:p>
        </w:tc>
        <w:tc>
          <w:tcPr>
            <w:tcW w:w="5065"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0" w:hRule="atLeast"/>
        </w:trPr>
        <w:tc>
          <w:tcPr>
            <w:tcW w:w="3457"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同意清偿签收日期</w:t>
            </w:r>
          </w:p>
        </w:tc>
        <w:tc>
          <w:tcPr>
            <w:tcW w:w="5065" w:type="dxa"/>
            <w:gridSpan w:val="5"/>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pPr>
        <w:jc w:val="center"/>
        <w:outlineLvl w:val="9"/>
      </w:pPr>
    </w:p>
    <w:p>
      <w:pPr>
        <w:jc w:val="center"/>
        <w:outlineLvl w:val="9"/>
      </w:pPr>
    </w:p>
    <w:p>
      <w:pPr>
        <w:outlineLvl w:val="9"/>
      </w:pPr>
      <w:r>
        <w:rPr>
          <w:rFonts w:hint="eastAsia" w:ascii="楷体" w:hAnsi="楷体" w:eastAsia="楷体" w:cs="仿宋"/>
          <w:sz w:val="30"/>
          <w:lang w:val="en-US" w:eastAsia="zh-CN"/>
        </w:rPr>
        <w:t>票据背面的</w:t>
      </w:r>
      <w:r>
        <w:rPr>
          <w:rFonts w:hint="eastAsia" w:ascii="楷体" w:hAnsi="楷体" w:eastAsia="楷体" w:cs="仿宋"/>
          <w:sz w:val="30"/>
        </w:rPr>
        <w:t>图样</w:t>
      </w:r>
      <w:r>
        <w:rPr>
          <w:rFonts w:hint="eastAsia" w:ascii="楷体" w:hAnsi="楷体" w:eastAsia="楷体" w:cs="仿宋"/>
          <w:sz w:val="30"/>
          <w:lang w:val="en-US" w:eastAsia="zh-CN"/>
        </w:rPr>
        <w:t>示例</w:t>
      </w:r>
      <w:r>
        <w:rPr>
          <w:rFonts w:hint="eastAsia" w:ascii="楷体" w:hAnsi="楷体" w:eastAsia="楷体" w:cs="仿宋"/>
          <w:sz w:val="30"/>
        </w:rPr>
        <w:t>：</w:t>
      </w:r>
    </w:p>
    <w:p>
      <w:pPr>
        <w:jc w:val="center"/>
        <w:outlineLvl w:val="9"/>
      </w:pPr>
      <w:r>
        <w:drawing>
          <wp:inline distT="0" distB="0" distL="114300" distR="114300">
            <wp:extent cx="5267325" cy="4201795"/>
            <wp:effectExtent l="0" t="0" r="9525" b="825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7"/>
                    <a:stretch>
                      <a:fillRect/>
                    </a:stretch>
                  </pic:blipFill>
                  <pic:spPr>
                    <a:xfrm>
                      <a:off x="0" y="0"/>
                      <a:ext cx="5267325" cy="4201795"/>
                    </a:xfrm>
                    <a:prstGeom prst="rect">
                      <a:avLst/>
                    </a:prstGeom>
                    <a:noFill/>
                    <a:ln>
                      <a:noFill/>
                    </a:ln>
                  </pic:spPr>
                </pic:pic>
              </a:graphicData>
            </a:graphic>
          </wp:inline>
        </w:drawing>
      </w:r>
    </w:p>
    <w:p>
      <w:pPr>
        <w:jc w:val="center"/>
        <w:outlineLvl w:val="9"/>
      </w:pPr>
    </w:p>
    <w:p>
      <w:pPr>
        <w:jc w:val="left"/>
        <w:outlineLvl w:val="9"/>
      </w:pPr>
      <w:r>
        <w:br w:type="page"/>
      </w:r>
    </w:p>
    <w:p>
      <w:pPr>
        <w:jc w:val="left"/>
        <w:outlineLvl w:val="9"/>
        <w:rPr>
          <w:rFonts w:ascii="楷体" w:hAnsi="楷体" w:eastAsia="楷体" w:cs="仿宋"/>
          <w:sz w:val="30"/>
        </w:rPr>
      </w:pPr>
      <w:r>
        <w:rPr>
          <w:rFonts w:hint="eastAsia" w:ascii="楷体" w:hAnsi="楷体" w:eastAsia="楷体" w:cs="仿宋"/>
          <w:sz w:val="30"/>
          <w:lang w:eastAsia="zh-Hans"/>
        </w:rPr>
        <w:t>附</w:t>
      </w:r>
      <w:r>
        <w:rPr>
          <w:rFonts w:hint="eastAsia" w:ascii="楷体" w:hAnsi="楷体" w:eastAsia="楷体" w:cs="仿宋"/>
          <w:sz w:val="30"/>
          <w:lang w:val="en-US" w:eastAsia="zh-CN"/>
        </w:rPr>
        <w:t>2-3</w:t>
      </w:r>
      <w:r>
        <w:rPr>
          <w:rFonts w:ascii="楷体" w:hAnsi="楷体" w:eastAsia="楷体" w:cs="仿宋"/>
          <w:sz w:val="30"/>
        </w:rPr>
        <w:t>.</w:t>
      </w:r>
      <w:r>
        <w:rPr>
          <w:rFonts w:hint="eastAsia" w:ascii="楷体" w:hAnsi="楷体" w:eastAsia="楷体" w:cs="仿宋"/>
          <w:sz w:val="30"/>
        </w:rPr>
        <w:t>展示示例</w:t>
      </w:r>
    </w:p>
    <w:p>
      <w:pPr>
        <w:jc w:val="center"/>
        <w:outlineLvl w:val="9"/>
      </w:pPr>
      <w:r>
        <w:rPr>
          <w:rFonts w:hint="eastAsia"/>
        </w:rPr>
        <w:t>例1：未完成承兑票据</w:t>
      </w:r>
    </w:p>
    <w:p>
      <w:pPr>
        <w:jc w:val="center"/>
        <w:outlineLvl w:val="9"/>
      </w:pPr>
      <w:r>
        <w:drawing>
          <wp:inline distT="0" distB="0" distL="114300" distR="114300">
            <wp:extent cx="5266690" cy="3601720"/>
            <wp:effectExtent l="0" t="0" r="10160" b="177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5266690" cy="3601720"/>
                    </a:xfrm>
                    <a:prstGeom prst="rect">
                      <a:avLst/>
                    </a:prstGeom>
                    <a:noFill/>
                    <a:ln>
                      <a:noFill/>
                    </a:ln>
                  </pic:spPr>
                </pic:pic>
              </a:graphicData>
            </a:graphic>
          </wp:inline>
        </w:drawing>
      </w:r>
    </w:p>
    <w:p>
      <w:pPr>
        <w:jc w:val="center"/>
        <w:outlineLvl w:val="9"/>
      </w:pPr>
      <w:r>
        <w:rPr>
          <w:rFonts w:hint="eastAsia"/>
        </w:rPr>
        <w:t>例2：已转出票据</w:t>
      </w:r>
    </w:p>
    <w:p>
      <w:pPr>
        <w:jc w:val="center"/>
        <w:outlineLvl w:val="9"/>
      </w:pPr>
      <w:r>
        <w:drawing>
          <wp:inline distT="0" distB="0" distL="114300" distR="114300">
            <wp:extent cx="5266690" cy="3601720"/>
            <wp:effectExtent l="0" t="0" r="1016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5266690" cy="3601720"/>
                    </a:xfrm>
                    <a:prstGeom prst="rect">
                      <a:avLst/>
                    </a:prstGeom>
                    <a:noFill/>
                    <a:ln>
                      <a:noFill/>
                    </a:ln>
                  </pic:spPr>
                </pic:pic>
              </a:graphicData>
            </a:graphic>
          </wp:inline>
        </w:drawing>
      </w:r>
    </w:p>
    <w:p>
      <w:pPr>
        <w:jc w:val="center"/>
        <w:outlineLvl w:val="9"/>
      </w:pPr>
    </w:p>
    <w:p>
      <w:pPr>
        <w:jc w:val="center"/>
        <w:outlineLvl w:val="9"/>
      </w:pPr>
    </w:p>
    <w:p>
      <w:pPr>
        <w:jc w:val="center"/>
        <w:outlineLvl w:val="0"/>
        <w:sectPr>
          <w:footerReference r:id="rId4" w:type="default"/>
          <w:footerReference r:id="rId5" w:type="even"/>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8"/>
        <w:tblW w:w="9825" w:type="dxa"/>
        <w:tblInd w:w="-443" w:type="dxa"/>
        <w:tblLayout w:type="fixed"/>
        <w:tblCellMar>
          <w:top w:w="0" w:type="dxa"/>
          <w:left w:w="108" w:type="dxa"/>
          <w:bottom w:w="0" w:type="dxa"/>
          <w:right w:w="108" w:type="dxa"/>
        </w:tblCellMar>
      </w:tblPr>
      <w:tblGrid>
        <w:gridCol w:w="578"/>
        <w:gridCol w:w="890"/>
        <w:gridCol w:w="1135"/>
        <w:gridCol w:w="1929"/>
        <w:gridCol w:w="1039"/>
        <w:gridCol w:w="1168"/>
        <w:gridCol w:w="1511"/>
        <w:gridCol w:w="1575"/>
      </w:tblGrid>
      <w:tr>
        <w:tblPrEx>
          <w:tblLayout w:type="fixed"/>
          <w:tblCellMar>
            <w:top w:w="0" w:type="dxa"/>
            <w:left w:w="108" w:type="dxa"/>
            <w:bottom w:w="0" w:type="dxa"/>
            <w:right w:w="108" w:type="dxa"/>
          </w:tblCellMar>
        </w:tblPrEx>
        <w:trPr>
          <w:trHeight w:val="280" w:hRule="atLeast"/>
        </w:trPr>
        <w:tc>
          <w:tcPr>
            <w:tcW w:w="9825" w:type="dxa"/>
            <w:gridSpan w:val="8"/>
            <w:tcBorders>
              <w:top w:val="nil"/>
              <w:left w:val="nil"/>
              <w:bottom w:val="single" w:color="000000" w:sz="4" w:space="0"/>
              <w:right w:val="nil"/>
            </w:tcBorders>
            <w:noWrap/>
            <w:vAlign w:val="center"/>
          </w:tcPr>
          <w:p>
            <w:pPr>
              <w:widowControl/>
              <w:jc w:val="left"/>
              <w:textAlignment w:val="center"/>
              <w:rPr>
                <w:rFonts w:ascii="宋体" w:hAnsi="宋体" w:cs="宋体"/>
                <w:color w:val="000000"/>
                <w:kern w:val="0"/>
                <w:sz w:val="15"/>
                <w:szCs w:val="15"/>
                <w:lang w:bidi="ar"/>
              </w:rPr>
            </w:pPr>
            <w:r>
              <w:rPr>
                <w:rFonts w:hint="eastAsia" w:ascii="楷体" w:hAnsi="楷体" w:eastAsia="楷体" w:cs="仿宋"/>
                <w:sz w:val="30"/>
                <w:lang w:eastAsia="zh-Hans"/>
              </w:rPr>
              <w:t>附</w:t>
            </w:r>
            <w:r>
              <w:rPr>
                <w:rFonts w:hint="eastAsia" w:ascii="楷体" w:hAnsi="楷体" w:eastAsia="楷体" w:cs="仿宋"/>
                <w:sz w:val="30"/>
                <w:lang w:val="en-US" w:eastAsia="zh-CN"/>
              </w:rPr>
              <w:t>2-4</w:t>
            </w:r>
            <w:r>
              <w:rPr>
                <w:rFonts w:hint="eastAsia" w:ascii="楷体" w:hAnsi="楷体" w:eastAsia="楷体" w:cs="仿宋"/>
                <w:sz w:val="30"/>
              </w:rPr>
              <w:t>.参考报文字段</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位置</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字段</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二级字段</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内容</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参考报文</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参考报文内容</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参考报文字段</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备注</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显示日期</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查看当前日期及时间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无</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当前展示时系统日期及时间 YYYY-MM-DD HH:MM</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出票日期</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票据出票日期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Style w:val="44"/>
                <w:rFonts w:hint="default"/>
                <w:sz w:val="15"/>
                <w:szCs w:val="15"/>
                <w:lang w:bidi="ar"/>
              </w:rPr>
              <w:t>&lt;DraftInf/&gt;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&lt;IssDt/&gt;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 xml:space="preserve"> </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汇票到期日</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票据到期日期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Style w:val="44"/>
                <w:rFonts w:hint="default"/>
                <w:sz w:val="15"/>
                <w:szCs w:val="15"/>
                <w:lang w:bidi="ar"/>
              </w:rPr>
              <w:t>&lt;DraftInf/&gt;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&lt;DueDt/&gt;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票据状态</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当前票据状态和票据流通标志</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&lt;DraftStatusInf/&gt;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&lt;CdStatus/&gt;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90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票据号码（第一行）</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票据（包）号码共30位，票据号码第1位与第2位之间、第13位与第14位之间、第21位与第22位之间、第29位与第30位之间分别空一格。</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&lt;CdNo/&gt;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票据号码（第二行）</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子票区间，子票区间显示本包票据的开始序号和终止序号，起始序号均为12位，以“XXXXXXXXXXXX-XXXXXXXXXXXX”格式显示,不足12位展示时起始序号前方均不补0，如“1-12</w:t>
            </w:r>
            <w:r>
              <w:rPr>
                <w:rFonts w:hint="eastAsia" w:ascii="宋体" w:hAnsi="宋体" w:cs="宋体"/>
                <w:color w:val="000000"/>
                <w:kern w:val="0"/>
                <w:sz w:val="15"/>
                <w:szCs w:val="15"/>
                <w:lang w:val="en-US" w:eastAsia="zh-CN" w:bidi="ar"/>
              </w:rPr>
              <w:t>00</w:t>
            </w:r>
            <w:r>
              <w:rPr>
                <w:rFonts w:hint="eastAsia" w:ascii="宋体" w:hAnsi="宋体" w:cs="宋体"/>
                <w:color w:val="000000"/>
                <w:kern w:val="0"/>
                <w:sz w:val="15"/>
                <w:szCs w:val="15"/>
                <w:lang w:bidi="ar"/>
              </w:rPr>
              <w:t>0000000”。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&lt;CdRange/&gt;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出票人对应账户备案企业名称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收款人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收款人对应账户备案企业名称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收款人开户行账号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收款人开户行名称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56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出票保证信息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出票保证人对应账户备案企业名称，出票人发起保证申请对应保证人</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 保证申请人为出票人</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票据金额</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票据（包）金额，分别填写大小写</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&lt;CdAmt/&gt;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承兑人对应账户备案企业名称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开户行行名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能否转让</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可转让或不得转让及是否允许分包流转</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&lt;DraftStatusInf/&gt;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&lt;BnedMtmrk/&gt;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可否分包根据子票区间号&lt;CdRange/&gt;判断</w:t>
            </w:r>
          </w:p>
        </w:tc>
      </w:tr>
      <w:tr>
        <w:tblPrEx>
          <w:tblLayout w:type="fixed"/>
          <w:tblCellMar>
            <w:top w:w="0" w:type="dxa"/>
            <w:left w:w="108" w:type="dxa"/>
            <w:bottom w:w="0" w:type="dxa"/>
            <w:right w:w="108" w:type="dxa"/>
          </w:tblCellMar>
        </w:tblPrEx>
        <w:trPr>
          <w:trHeight w:val="3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出票人承诺</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出票人承诺：本汇票请予以承兑，到期无条件付款</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承兑人承兑</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承兑人承兑：本汇票已经承兑，到期无条件付款</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&lt;EndorTp/&gt;ET01&lt;DraftHistInf/&gt;&lt;SgnUpMk/&gt;SU00未承兑签收前不得展示</w:t>
            </w:r>
          </w:p>
        </w:tc>
      </w:tr>
      <w:tr>
        <w:tblPrEx>
          <w:tblLayout w:type="fixed"/>
          <w:tblCellMar>
            <w:top w:w="0" w:type="dxa"/>
            <w:left w:w="108" w:type="dxa"/>
            <w:bottom w:w="0" w:type="dxa"/>
            <w:right w:w="108" w:type="dxa"/>
          </w:tblCellMar>
        </w:tblPrEx>
        <w:trPr>
          <w:trHeight w:val="72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&lt;EndorTp/&gt;ET01&lt;DraftHistInf/&gt;&lt;SgnUpMk/&gt;SU00未承兑签收前不得展示</w:t>
            </w:r>
          </w:p>
        </w:tc>
      </w:tr>
      <w:tr>
        <w:tblPrEx>
          <w:tblLayout w:type="fixed"/>
          <w:tblCellMar>
            <w:top w:w="0" w:type="dxa"/>
            <w:left w:w="108" w:type="dxa"/>
            <w:bottom w:w="0" w:type="dxa"/>
            <w:right w:w="108" w:type="dxa"/>
          </w:tblCellMar>
        </w:tblPrEx>
        <w:trPr>
          <w:trHeight w:val="56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承兑保证信息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承兑保证人对应账户备案企业名称，承兑人发起保证申请对应保证人</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 保证申请人为承兑人</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承兑人评级信息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评级主体</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承兑人备案时自行填写</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&lt;CorpCdtRatgsInf/&gt;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&lt;CdtRatgs/&gt;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信用等级</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承兑人备案时自行填写</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&lt;CorpCdtRatgsInf/&gt;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&lt;RatgSub/&gt;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评级到期日</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承兑人备案时自行填写</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&lt;CorpCdtRatgsInf/&gt;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&lt;RatgDueDt/&gt;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票据相关信息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票据种类</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&lt;CdType/&gt;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票据种类为AC01且承兑人为财务公司时，为财务公司承兑汇票</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风险票据状态</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风险票据状态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&lt;DraftStatusInf/&gt;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Style w:val="44"/>
                <w:rFonts w:hint="default"/>
                <w:sz w:val="15"/>
                <w:szCs w:val="15"/>
                <w:lang w:bidi="ar"/>
              </w:rPr>
              <w:t>&lt;RiskStatus/&gt;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票据标注信息-标注名称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标注名称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&lt;ExtInfs/&gt;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可多多项；与标注信息对应业务信息进行一一对应</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票据标注信息-标注内容</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标注内容</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&lt;ExtInfs/&gt;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&lt;ExtInf/&gt;&lt;Value/&gt;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票据相关信息-标注信息对应业务信息（</w:t>
            </w:r>
            <w:r>
              <w:rPr>
                <w:rFonts w:hint="eastAsia" w:ascii="宋体" w:hAnsi="宋体" w:cs="宋体"/>
                <w:color w:val="000000"/>
                <w:kern w:val="0"/>
                <w:sz w:val="15"/>
                <w:szCs w:val="15"/>
                <w:lang w:eastAsia="zh-CN" w:bidi="ar"/>
              </w:rPr>
              <w:t>示例</w:t>
            </w:r>
            <w:r>
              <w:rPr>
                <w:rFonts w:hint="eastAsia" w:ascii="宋体" w:hAnsi="宋体" w:cs="宋体"/>
                <w:color w:val="000000"/>
                <w:kern w:val="0"/>
                <w:sz w:val="15"/>
                <w:szCs w:val="15"/>
                <w:lang w:bidi="ar"/>
              </w:rPr>
              <w:t>）</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保贴人全称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&lt;CdtGrntInf/&gt;&lt;Tp/&gt;01保贴 与标注信息进行一一对应,对应关系以相关业务规则为准</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bidi="ar"/>
              </w:rPr>
              <w:t>保贴人</w:t>
            </w: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&lt;BrId/&gt;对应社会信用代码</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保贴额度</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&lt;Amt/&gt;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保贴日期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保兑人全称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&lt;CdtGrntInf/&gt;&lt;Tp/&gt;02保兑 与标注信息进行一一对应,对应关系以相关业务规则为准</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bidi="ar"/>
              </w:rPr>
              <w:t>保兑人</w:t>
            </w: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&lt;BrId/&gt;对应社会信用代码</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保兑额度</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&lt;Amt/&gt;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保兑日期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票据相关信息-标注信息对应业务信息</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业务信息框</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对应关系以相关业务规则为准</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票据行为人详细信息-出票人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&lt;DwrInf/&gt;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bidi="ar"/>
              </w:rPr>
              <w:t>票据行为人详细信息-收款人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&lt;AcptPsnInf/&gt;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票据行为人详细信息-承兑人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&lt;PyeeInf/&gt;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保证增信信息-出票保证人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 申请人为出票人</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保证增信信息-承兑保证人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 申请人为承兑人</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保证增信信息-背书保证人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 申请人为背书人</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&lt;NoDrtPtcptInf/&gt;&lt;SocCode/&gt;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账户名称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办理渠道名称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&lt;DrtPtcptInf/&gt;&lt;PtcptId/&gt;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票据账户号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对应账户托管账户号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&lt;NoDrtPtcptInf/&gt;&lt;CdAcctInf/&gt;&lt;Acct/&gt;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开户银行名</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开户银行行号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对应银行/清算路径开户行行号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&lt;NoDrtPtcptInf/&gt;&lt;BrAcctInf/&gt;&lt;OpenBrId/&gt;对应大额行号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开户银行账号</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对应银行/清算路径开户行账号</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&lt;NoDrtPtcptInf/&gt;&lt;BrAcctInf/&gt;&lt;Acct/&gt;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保证增信信息-保贴人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&lt;CdtGrntInf/&gt;&lt;Tp/&gt;01保贴</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&lt;BrId/&gt;对应社会信用代码</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额度</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&lt;Amt/&gt;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保证增信信息-保兑人</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全称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&lt;CdtGrntInf/&gt;&lt;Tp/&gt;02保兑</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cs="宋体" w:eastAsiaTheme="minorEastAsia"/>
                <w:color w:val="000000"/>
                <w:sz w:val="15"/>
                <w:szCs w:val="15"/>
                <w:lang w:eastAsia="zh-CN"/>
              </w:rPr>
            </w:pPr>
            <w:r>
              <w:rPr>
                <w:rFonts w:hint="eastAsia" w:ascii="宋体" w:hAnsi="宋体" w:cs="宋体"/>
                <w:color w:val="000000"/>
                <w:kern w:val="0"/>
                <w:sz w:val="15"/>
                <w:szCs w:val="15"/>
                <w:lang w:eastAsia="zh-CN" w:bidi="ar"/>
              </w:rPr>
              <w:t>统一社会信用代码</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w:t>
            </w:r>
            <w:r>
              <w:rPr>
                <w:rFonts w:hint="eastAsia" w:ascii="宋体" w:hAnsi="宋体" w:cs="宋体"/>
                <w:color w:val="000000"/>
                <w:kern w:val="0"/>
                <w:sz w:val="15"/>
                <w:szCs w:val="15"/>
                <w:lang w:eastAsia="zh-CN" w:bidi="ar"/>
              </w:rPr>
              <w:t>统一社会信用代码</w:t>
            </w:r>
            <w:r>
              <w:rPr>
                <w:rFonts w:hint="eastAsia" w:ascii="宋体" w:hAnsi="宋体" w:cs="宋体"/>
                <w:color w:val="000000"/>
                <w:kern w:val="0"/>
                <w:sz w:val="15"/>
                <w:szCs w:val="15"/>
                <w:lang w:bidi="ar"/>
              </w:rPr>
              <w:t>/金融机构在票交所登记代码</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&lt;BrId/&gt;对应社会信用代码</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额度</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对应账户备案账户名称/企业名称（供应链平台）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&lt;Amt/&gt;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补充信息</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对应账户备案开户行名称或平台名称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MEM.012</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&lt;CdtGrntInf/&gt;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显示日期</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查看当前日期及时间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无</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当前展示时系统日期及时间 YYYY-MM-DD HH:MM</w:t>
            </w:r>
          </w:p>
        </w:tc>
      </w:tr>
      <w:tr>
        <w:tblPrEx>
          <w:tblLayout w:type="fixed"/>
          <w:tblCellMar>
            <w:top w:w="0" w:type="dxa"/>
            <w:left w:w="108" w:type="dxa"/>
            <w:bottom w:w="0" w:type="dxa"/>
            <w:right w:w="108"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票据号码（第一行）</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票据（包）号码共30位，票据号码第1位与第2位之间、第13位与第14位之间、第21位与第22位之间、第29位与第30位之间分别空一格。</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&lt;CdNo/&gt;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票据号码（第二行）</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jc w:val="left"/>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子票区间，子票区间显示本包票据的开始序号和终止序号，起始序号均为12位，以“XXXXXXXXXXXX-XXXXXXXXXXXX”格式显示,不足12位展示时起始序号前方均不补0，如“1-120000000”。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CIM.025</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&lt;DraftBasicInf/&gt;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&lt;CdRange/&gt;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转让背书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 行为双方为企业</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不得转让标记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不得转让标记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Style w:val="44"/>
                <w:rFonts w:hint="default"/>
                <w:sz w:val="15"/>
                <w:szCs w:val="15"/>
                <w:lang w:bidi="ar"/>
              </w:rPr>
              <w:t>&lt;BnedMtmrk/&gt;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&lt;EndorTp/&gt;ET02</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被保证人名称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92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&lt;OtherInf/&gt;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保证人地址</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保证日期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&lt;EndorTp/&gt;ET03</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出质人名称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质权人名称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出质日期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出质日期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&lt;EndorTp/&gt;ET03</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质押解除日期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质押解除日期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&lt;EndorTp/&gt;ET04</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买断式贴现背书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 xml:space="preserve">&lt;EndorTp/&gt;ET05 </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&lt;DsctBnkInf/&gt;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&lt;DsctBnkInf/&gt;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不得转让标记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不得转让标记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&lt;BnedMtmrk/&gt;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回购式贴现背书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&lt;EndorTp/&gt;ET14</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赎回开放日</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赎回开放日</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&lt;StpDt/&gt;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赎回截止日</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赎回截止日</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&lt;RpdDueDt/&gt;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回购式贴现赎回背书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存托背书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 接收方渠道类型为MT04 存托类</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存托产品在票交所登记名称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转贴现背书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 双方渠道类型为MT01、MT02、MT03，且行为双方为金融机构或产品</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非交易过户背书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 同时包含影像</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质押式回购背书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&lt;EndorTp/&gt;ET19</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成交日期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质押式回购赎回背书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&lt;EndorTp/&gt;ET20</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买断式回购背书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&lt;EndorTp/&gt;ET13</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成交日期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买断式回购赎回背书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&lt;EndorTp/&gt;ET17</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62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买断式再贴现背书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&lt;EndorTp/&gt;ET05</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 接收方为人民银行或其下属分支机构</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被背书人名称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背书日期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质押式回购再贴现背书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&lt;EndorTp/&gt;ET21</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成交日期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质押式回购再贴现赎回背书</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&lt;EndorTp/&gt;ET22</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正回购方名称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逆回购方名称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赎回日期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同意签收时间</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提示付款</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&lt;EndorTp/&gt;ET09</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提示付款人名称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&lt;DraftHistInf/&gt;&lt;SgnUpMk/&gt;SU00或SU01</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提示付款日期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15"/>
                <w:szCs w:val="15"/>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付款或拒付</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付款或拒付</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&lt;DraftHistInf/&gt;&lt;SgnUpMk/&gt;SU00或SU01</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如签收同意，但当日提示付款未清算成功，则同样为拒付</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付款或拒付日期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付款或拒付日期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&lt;StlRst/&gt;清算结果为成功</w:t>
            </w:r>
          </w:p>
        </w:tc>
      </w:tr>
      <w:tr>
        <w:tblPrEx>
          <w:tblLayout w:type="fixed"/>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拒付理由</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拒付理由</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&lt;SgnUpCode/&gt;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 xml:space="preserve">&lt;SgnUpCode/&gt;对应原因；&lt;SgnUpCode/&gt;-DishonorCode为CP06需时同时展示&lt;OtherInf/&gt; </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追索清偿</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第一次追索</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同意清偿签收人名称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7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追索类型</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追索类型</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&lt;EndorTp/&gt;ET10&lt;DraftHistInf/&gt;&lt;SgnUpMk/&gt;SU00或SU01判断</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根据是否有到期后的提示付款拒付记录判断:拒付追索(线上清算DVP/线下清算FOP)；非拒付追索(线上清算DVP/线下清算FOP)</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同意清偿签收日期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清偿日期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restart"/>
            <w:tcBorders>
              <w:top w:val="single" w:color="000000" w:sz="4" w:space="0"/>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再追索清偿</w:t>
            </w:r>
          </w:p>
        </w:tc>
        <w:tc>
          <w:tcPr>
            <w:tcW w:w="113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历史行为种类</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第一次追索成功后再次追索</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&lt;Rqstr/&gt;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同意清偿签收人名称</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对应账户备案企业名称/金融机构在票交所登记名称</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&lt;Sgnr/&gt;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&lt;NoDrtPtcptInf/&gt;&lt;Name/&gt;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&lt;ExtInfs/&gt;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r>
        <w:tblPrEx>
          <w:tblLayout w:type="fixed"/>
          <w:tblCellMar>
            <w:top w:w="0" w:type="dxa"/>
            <w:left w:w="108" w:type="dxa"/>
            <w:bottom w:w="0" w:type="dxa"/>
            <w:right w:w="108" w:type="dxa"/>
          </w:tblCellMar>
        </w:tblPrEx>
        <w:trPr>
          <w:trHeight w:val="64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追索类型</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追索类型</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&lt;EndorTp/&gt;ET10&lt;DraftHistInf/&gt;&lt;SgnUpMk/&gt;SU00或SU01判断</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根据是否有到期后的提示付款拒付记录判断:拒付追索(线上清算DVP/线下清算FOP)；非拒付追索(线上清算DVP/线下清算FOP)</w:t>
            </w:r>
          </w:p>
        </w:tc>
      </w:tr>
      <w:tr>
        <w:tblPrEx>
          <w:tblLayout w:type="fixed"/>
          <w:tblCellMar>
            <w:top w:w="0" w:type="dxa"/>
            <w:left w:w="108" w:type="dxa"/>
            <w:bottom w:w="0" w:type="dxa"/>
            <w:right w:w="108" w:type="dxa"/>
          </w:tblCellMar>
        </w:tblPrEx>
        <w:trPr>
          <w:trHeight w:val="280"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背面</w:t>
            </w:r>
          </w:p>
        </w:tc>
        <w:tc>
          <w:tcPr>
            <w:tcW w:w="890" w:type="dxa"/>
            <w:vMerge w:val="continue"/>
            <w:tcBorders>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同意清偿签收日期</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清偿日期</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CIM.025&lt;HistoryInf/&gt;</w:t>
            </w:r>
          </w:p>
        </w:tc>
        <w:tc>
          <w:tcPr>
            <w:tcW w:w="1168"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&lt;DraftHistInf/&gt;</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000000"/>
                <w:sz w:val="15"/>
                <w:szCs w:val="15"/>
              </w:rPr>
            </w:pPr>
            <w:r>
              <w:rPr>
                <w:rFonts w:hint="eastAsia" w:ascii="宋体" w:hAnsi="宋体" w:cs="宋体"/>
                <w:color w:val="000000"/>
                <w:kern w:val="0"/>
                <w:sz w:val="15"/>
                <w:szCs w:val="15"/>
                <w:lang w:bidi="ar"/>
              </w:rPr>
              <w:t>&lt;Dt/&gt;</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15"/>
                <w:szCs w:val="15"/>
              </w:rPr>
            </w:pPr>
          </w:p>
        </w:tc>
      </w:tr>
    </w:tbl>
    <w:p>
      <w:pPr>
        <w:pStyle w:val="3"/>
        <w:adjustRightInd w:val="0"/>
        <w:snapToGrid w:val="0"/>
        <w:spacing w:before="0" w:after="0" w:line="240" w:lineRule="auto"/>
        <w:textAlignment w:val="baseline"/>
        <w:rPr>
          <w:rFonts w:ascii="仿宋" w:hAnsi="仿宋" w:eastAsia="仿宋" w:cs="仿宋"/>
          <w:b w:val="0"/>
          <w:bCs w:val="0"/>
          <w:color w:val="000000"/>
        </w:rPr>
        <w:sectPr>
          <w:footerReference r:id="rId6" w:type="default"/>
          <w:pgSz w:w="11910" w:h="16840"/>
          <w:pgMar w:top="1440" w:right="1803" w:bottom="1440" w:left="1803" w:header="283" w:footer="283" w:gutter="0"/>
          <w:pgBorders>
            <w:top w:val="none" w:sz="0" w:space="0"/>
            <w:left w:val="none" w:sz="0" w:space="0"/>
            <w:bottom w:val="none" w:sz="0" w:space="0"/>
            <w:right w:val="none" w:sz="0" w:space="0"/>
          </w:pgBorders>
          <w:pgNumType w:fmt="decimal"/>
          <w:cols w:space="720" w:num="1"/>
          <w:docGrid w:linePitch="286" w:charSpace="0"/>
        </w:sectPr>
      </w:pPr>
    </w:p>
    <w:p>
      <w:pPr>
        <w:pStyle w:val="3"/>
        <w:adjustRightInd w:val="0"/>
        <w:snapToGrid w:val="0"/>
        <w:spacing w:before="0" w:after="0" w:line="240" w:lineRule="auto"/>
        <w:textAlignment w:val="baseline"/>
        <w:rPr>
          <w:rFonts w:ascii="仿宋" w:hAnsi="仿宋" w:eastAsia="仿宋" w:cs="仿宋"/>
          <w:b w:val="0"/>
          <w:bCs w:val="0"/>
          <w:color w:val="000000"/>
        </w:rPr>
      </w:pPr>
      <w:bookmarkStart w:id="2740" w:name="_Toc12850"/>
      <w:bookmarkStart w:id="2741" w:name="_Toc19983"/>
      <w:bookmarkStart w:id="2742" w:name="_Toc30285"/>
      <w:bookmarkStart w:id="2743" w:name="_Toc1615"/>
      <w:bookmarkStart w:id="2744" w:name="_Toc22440"/>
      <w:bookmarkStart w:id="2745" w:name="_Toc18914"/>
      <w:bookmarkStart w:id="2746" w:name="_Toc1940130699"/>
      <w:bookmarkStart w:id="2747" w:name="_Toc25635"/>
      <w:r>
        <w:rPr>
          <w:rFonts w:hint="eastAsia" w:ascii="仿宋" w:hAnsi="仿宋" w:eastAsia="仿宋" w:cs="仿宋"/>
          <w:b w:val="0"/>
          <w:bCs w:val="0"/>
          <w:color w:val="000000"/>
        </w:rPr>
        <w:t>附件3：</w:t>
      </w:r>
      <w:bookmarkEnd w:id="2729"/>
      <w:bookmarkEnd w:id="2730"/>
      <w:bookmarkEnd w:id="2740"/>
      <w:bookmarkEnd w:id="2741"/>
      <w:bookmarkEnd w:id="2742"/>
      <w:bookmarkEnd w:id="2743"/>
      <w:bookmarkEnd w:id="2744"/>
      <w:bookmarkEnd w:id="2745"/>
      <w:bookmarkEnd w:id="2746"/>
      <w:bookmarkEnd w:id="2747"/>
    </w:p>
    <w:p>
      <w:pPr>
        <w:pStyle w:val="3"/>
        <w:spacing w:before="0" w:after="0" w:line="240" w:lineRule="auto"/>
        <w:jc w:val="center"/>
        <w:rPr>
          <w:rFonts w:ascii="黑体" w:hAnsi="黑体" w:eastAsia="黑体" w:cs="Times New Roman"/>
          <w:b w:val="0"/>
          <w:bCs w:val="0"/>
          <w:sz w:val="36"/>
        </w:rPr>
      </w:pPr>
      <w:bookmarkStart w:id="2748" w:name="_Toc19022"/>
      <w:bookmarkStart w:id="2749" w:name="_Toc14312"/>
      <w:bookmarkStart w:id="2750" w:name="_Toc22143"/>
      <w:bookmarkStart w:id="2751" w:name="_Toc14093"/>
      <w:bookmarkStart w:id="2752" w:name="_Toc9833"/>
      <w:bookmarkStart w:id="2753" w:name="_Toc21014"/>
      <w:bookmarkStart w:id="2754" w:name="_Toc809386651"/>
      <w:bookmarkStart w:id="2755" w:name="_Toc21903"/>
      <w:bookmarkStart w:id="2756" w:name="_Toc18321"/>
      <w:bookmarkStart w:id="2757" w:name="_Toc28473"/>
      <w:r>
        <w:rPr>
          <w:rFonts w:hint="eastAsia" w:ascii="黑体" w:hAnsi="黑体" w:eastAsia="黑体" w:cs="Times New Roman"/>
          <w:b w:val="0"/>
          <w:bCs w:val="0"/>
          <w:sz w:val="36"/>
        </w:rPr>
        <w:t>上海票据交易所参与者</w:t>
      </w:r>
      <w:r>
        <w:rPr>
          <w:rFonts w:hint="eastAsia" w:ascii="黑体" w:hAnsi="黑体" w:eastAsia="黑体" w:cs="Times New Roman"/>
          <w:b w:val="0"/>
          <w:bCs w:val="0"/>
          <w:sz w:val="36"/>
          <w:lang w:eastAsia="zh-CN"/>
        </w:rPr>
        <w:t>加入</w:t>
      </w:r>
      <w:r>
        <w:rPr>
          <w:rFonts w:hint="eastAsia" w:ascii="黑体" w:hAnsi="黑体" w:eastAsia="黑体" w:cs="Times New Roman"/>
          <w:b w:val="0"/>
          <w:bCs w:val="0"/>
          <w:sz w:val="36"/>
        </w:rPr>
        <w:t>申请表</w:t>
      </w:r>
      <w:bookmarkEnd w:id="2748"/>
      <w:bookmarkEnd w:id="2749"/>
      <w:bookmarkEnd w:id="2750"/>
      <w:bookmarkEnd w:id="2751"/>
      <w:bookmarkEnd w:id="2752"/>
      <w:bookmarkEnd w:id="2753"/>
      <w:bookmarkEnd w:id="2754"/>
      <w:bookmarkEnd w:id="2755"/>
      <w:bookmarkEnd w:id="2756"/>
      <w:bookmarkEnd w:id="2757"/>
    </w:p>
    <w:tbl>
      <w:tblPr>
        <w:tblStyle w:val="18"/>
        <w:tblpPr w:leftFromText="181" w:rightFromText="181" w:vertAnchor="text" w:tblpXSpec="center" w:tblpY="1"/>
        <w:tblOverlap w:val="never"/>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81"/>
        <w:gridCol w:w="1266"/>
        <w:gridCol w:w="150"/>
        <w:gridCol w:w="247"/>
        <w:gridCol w:w="1742"/>
        <w:gridCol w:w="269"/>
        <w:gridCol w:w="9"/>
        <w:gridCol w:w="1419"/>
        <w:gridCol w:w="989"/>
        <w:gridCol w:w="713"/>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7084" w:type="dxa"/>
            <w:gridSpan w:val="9"/>
            <w:tcBorders>
              <w:top w:val="nil"/>
              <w:left w:val="nil"/>
              <w:bottom w:val="nil"/>
              <w:right w:val="nil"/>
              <w:tl2br w:val="nil"/>
              <w:tr2bl w:val="nil"/>
            </w:tcBorders>
            <w:shd w:val="clear" w:color="auto" w:fill="auto"/>
            <w:vAlign w:val="center"/>
          </w:tcPr>
          <w:p>
            <w:pPr>
              <w:jc w:val="left"/>
              <w:rPr>
                <w:rFonts w:ascii="黑体" w:hAnsi="黑体" w:eastAsia="黑体" w:cs="仿宋"/>
                <w:sz w:val="22"/>
              </w:rPr>
            </w:pPr>
            <w:r>
              <w:rPr>
                <w:rFonts w:hint="eastAsia" w:ascii="仿宋" w:hAnsi="仿宋" w:eastAsia="仿宋"/>
                <w:sz w:val="24"/>
              </w:rPr>
              <w:t>法人机构全称：</w:t>
            </w:r>
            <w:r>
              <w:rPr>
                <w:rFonts w:ascii="仿宋" w:hAnsi="仿宋" w:eastAsia="仿宋"/>
                <w:sz w:val="24"/>
                <w:u w:val="single"/>
              </w:rPr>
              <w:t xml:space="preserve">                               </w:t>
            </w:r>
            <w:r>
              <w:rPr>
                <w:rFonts w:hint="eastAsia" w:ascii="仿宋" w:hAnsi="仿宋" w:eastAsia="仿宋"/>
                <w:sz w:val="24"/>
              </w:rPr>
              <w:t>（加盖公章）</w:t>
            </w:r>
          </w:p>
        </w:tc>
        <w:tc>
          <w:tcPr>
            <w:tcW w:w="3117" w:type="dxa"/>
            <w:gridSpan w:val="3"/>
            <w:tcBorders>
              <w:top w:val="nil"/>
              <w:left w:val="nil"/>
              <w:bottom w:val="nil"/>
              <w:right w:val="nil"/>
              <w:tl2br w:val="nil"/>
              <w:tr2bl w:val="nil"/>
            </w:tcBorders>
            <w:shd w:val="clear" w:color="auto" w:fill="auto"/>
            <w:vAlign w:val="center"/>
          </w:tcPr>
          <w:p>
            <w:pPr>
              <w:jc w:val="right"/>
              <w:rPr>
                <w:rFonts w:ascii="仿宋" w:hAnsi="仿宋" w:eastAsia="仿宋" w:cs="仿宋"/>
                <w:sz w:val="24"/>
              </w:rPr>
            </w:pPr>
            <w:r>
              <w:rPr>
                <w:rFonts w:hint="eastAsia" w:ascii="仿宋" w:hAnsi="仿宋" w:eastAsia="仿宋" w:cs="仿宋"/>
                <w:sz w:val="24"/>
              </w:rPr>
              <w:t>申请日期：</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0201" w:type="dxa"/>
            <w:gridSpan w:val="12"/>
            <w:tcBorders>
              <w:top w:val="nil"/>
              <w:left w:val="nil"/>
              <w:right w:val="nil"/>
              <w:tl2br w:val="nil"/>
              <w:tr2bl w:val="nil"/>
            </w:tcBorders>
            <w:shd w:val="clear" w:color="auto" w:fill="auto"/>
            <w:vAlign w:val="center"/>
          </w:tcPr>
          <w:p>
            <w:pPr>
              <w:jc w:val="left"/>
              <w:rPr>
                <w:rFonts w:ascii="仿宋" w:hAnsi="仿宋" w:eastAsia="仿宋" w:cs="仿宋"/>
                <w:sz w:val="24"/>
              </w:rPr>
            </w:pPr>
            <w:r>
              <w:rPr>
                <w:rFonts w:hint="eastAsia" w:ascii="仿宋" w:hAnsi="仿宋" w:eastAsia="仿宋"/>
                <w:sz w:val="24"/>
              </w:rPr>
              <w:t>申请事项：</w:t>
            </w:r>
            <w:r>
              <w:rPr>
                <w:rFonts w:hint="eastAsia" w:ascii="仿宋" w:hAnsi="仿宋" w:eastAsia="仿宋" w:cs="仿宋"/>
                <w:color w:val="000000"/>
                <w:kern w:val="0"/>
                <w:sz w:val="22"/>
                <w:lang w:bidi="ar"/>
              </w:rPr>
              <w:t>□法人机构</w:t>
            </w:r>
            <w:r>
              <w:rPr>
                <w:rFonts w:hint="eastAsia" w:ascii="仿宋" w:hAnsi="仿宋" w:eastAsia="仿宋" w:cs="仿宋"/>
                <w:color w:val="000000"/>
                <w:kern w:val="0"/>
                <w:sz w:val="22"/>
                <w:lang w:eastAsia="zh-CN" w:bidi="ar"/>
              </w:rPr>
              <w:t>加入</w:t>
            </w:r>
            <w:r>
              <w:rPr>
                <w:rFonts w:hint="eastAsia" w:ascii="仿宋" w:hAnsi="仿宋" w:eastAsia="仿宋" w:cs="仿宋"/>
                <w:color w:val="000000"/>
                <w:kern w:val="0"/>
                <w:sz w:val="22"/>
                <w:lang w:bidi="ar"/>
              </w:rPr>
              <w:t>申请</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□分支机构</w:t>
            </w:r>
            <w:r>
              <w:rPr>
                <w:rFonts w:hint="eastAsia" w:ascii="仿宋" w:hAnsi="仿宋" w:eastAsia="仿宋" w:cs="仿宋"/>
                <w:color w:val="000000"/>
                <w:kern w:val="0"/>
                <w:sz w:val="22"/>
                <w:lang w:eastAsia="zh-CN" w:bidi="ar"/>
              </w:rPr>
              <w:t>加入</w:t>
            </w:r>
            <w:r>
              <w:rPr>
                <w:rFonts w:hint="eastAsia" w:ascii="仿宋" w:hAnsi="仿宋" w:eastAsia="仿宋" w:cs="仿宋"/>
                <w:color w:val="000000"/>
                <w:kern w:val="0"/>
                <w:sz w:val="22"/>
                <w:lang w:bidi="ar"/>
              </w:rPr>
              <w:t>申请</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□非法人产品</w:t>
            </w:r>
            <w:r>
              <w:rPr>
                <w:rFonts w:hint="eastAsia" w:ascii="仿宋" w:hAnsi="仿宋" w:eastAsia="仿宋" w:cs="仿宋"/>
                <w:color w:val="000000"/>
                <w:kern w:val="0"/>
                <w:sz w:val="22"/>
                <w:lang w:eastAsia="zh-CN" w:bidi="ar"/>
              </w:rPr>
              <w:t>加入</w:t>
            </w:r>
            <w:r>
              <w:rPr>
                <w:rFonts w:hint="eastAsia" w:ascii="仿宋" w:hAnsi="仿宋" w:eastAsia="仿宋" w:cs="仿宋"/>
                <w:color w:val="000000"/>
                <w:kern w:val="0"/>
                <w:sz w:val="22"/>
                <w:lang w:bidi="ar"/>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201" w:type="dxa"/>
            <w:gridSpan w:val="12"/>
            <w:tcBorders>
              <w:tl2br w:val="nil"/>
              <w:tr2bl w:val="nil"/>
            </w:tcBorders>
            <w:shd w:val="clear" w:color="auto" w:fill="D8D8D8" w:themeFill="background1" w:themeFillShade="D9"/>
            <w:vAlign w:val="center"/>
          </w:tcPr>
          <w:p>
            <w:pPr>
              <w:jc w:val="center"/>
              <w:rPr>
                <w:rFonts w:ascii="黑体" w:hAnsi="黑体" w:eastAsia="黑体" w:cs="仿宋"/>
                <w:sz w:val="24"/>
              </w:rPr>
            </w:pPr>
            <w:r>
              <w:rPr>
                <w:rFonts w:hint="eastAsia" w:ascii="黑体" w:hAnsi="黑体" w:eastAsia="黑体" w:cs="仿宋"/>
                <w:sz w:val="24"/>
              </w:rPr>
              <w:t>法人机构</w:t>
            </w:r>
            <w:r>
              <w:rPr>
                <w:rFonts w:hint="eastAsia" w:ascii="黑体" w:hAnsi="黑体" w:eastAsia="黑体" w:cs="仿宋"/>
                <w:sz w:val="24"/>
                <w:lang w:eastAsia="zh-CN"/>
              </w:rPr>
              <w:t>加入</w:t>
            </w:r>
            <w:r>
              <w:rPr>
                <w:rFonts w:hint="eastAsia" w:ascii="黑体" w:hAnsi="黑体" w:eastAsia="黑体" w:cs="仿宋"/>
                <w:sz w:val="24"/>
              </w:rPr>
              <w:t>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l2br w:val="nil"/>
              <w:tr2bl w:val="nil"/>
            </w:tcBorders>
            <w:shd w:val="clear" w:color="auto" w:fill="auto"/>
            <w:vAlign w:val="center"/>
          </w:tcPr>
          <w:p>
            <w:pPr>
              <w:jc w:val="center"/>
              <w:rPr>
                <w:rFonts w:ascii="黑体" w:hAnsi="黑体" w:eastAsia="黑体" w:cs="仿宋"/>
                <w:color w:val="808080" w:themeColor="text1" w:themeTint="80"/>
                <w:sz w:val="24"/>
                <w14:textFill>
                  <w14:solidFill>
                    <w14:schemeClr w14:val="tx1">
                      <w14:lumMod w14:val="50000"/>
                      <w14:lumOff w14:val="50000"/>
                    </w14:schemeClr>
                  </w14:solidFill>
                </w14:textFill>
              </w:rPr>
            </w:pPr>
            <w:r>
              <w:rPr>
                <w:rFonts w:hint="eastAsia" w:ascii="黑体" w:hAnsi="黑体" w:eastAsia="黑体" w:cs="仿宋"/>
                <w:sz w:val="24"/>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982" w:type="dxa"/>
            <w:gridSpan w:val="2"/>
            <w:tcBorders>
              <w:tl2br w:val="nil"/>
              <w:tr2bl w:val="nil"/>
            </w:tcBorders>
            <w:vAlign w:val="center"/>
          </w:tcPr>
          <w:p>
            <w:pPr>
              <w:widowControl/>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法人机构简称</w:t>
            </w:r>
          </w:p>
        </w:tc>
        <w:tc>
          <w:tcPr>
            <w:tcW w:w="3674" w:type="dxa"/>
            <w:gridSpan w:val="5"/>
            <w:tcBorders>
              <w:tl2br w:val="nil"/>
              <w:tr2bl w:val="nil"/>
            </w:tcBorders>
            <w:vAlign w:val="center"/>
          </w:tcPr>
          <w:p>
            <w:pPr>
              <w:jc w:val="center"/>
              <w:rPr>
                <w:rFonts w:ascii="仿宋" w:hAnsi="仿宋" w:eastAsia="仿宋" w:cs="仿宋"/>
                <w:color w:val="000000"/>
                <w:sz w:val="22"/>
              </w:rPr>
            </w:pPr>
          </w:p>
        </w:tc>
        <w:tc>
          <w:tcPr>
            <w:tcW w:w="2417" w:type="dxa"/>
            <w:gridSpan w:val="3"/>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统一社会信用代码</w:t>
            </w:r>
          </w:p>
        </w:tc>
        <w:tc>
          <w:tcPr>
            <w:tcW w:w="2128" w:type="dxa"/>
            <w:gridSpan w:val="2"/>
            <w:tcBorders>
              <w:tl2br w:val="nil"/>
              <w:tr2bl w:val="nil"/>
            </w:tcBorders>
            <w:vAlign w:val="center"/>
          </w:tcPr>
          <w:p>
            <w:pPr>
              <w:jc w:val="center"/>
              <w:rPr>
                <w:rFonts w:ascii="仿宋" w:hAnsi="仿宋" w:eastAsia="仿宋" w:cs="仿宋"/>
                <w:color w:val="808080" w:themeColor="text1" w:themeTint="80"/>
                <w:sz w:val="22"/>
                <w14:textFill>
                  <w14:solidFill>
                    <w14:schemeClr w14:val="tx1">
                      <w14:lumMod w14:val="50000"/>
                      <w14:lumOff w14:val="50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982" w:type="dxa"/>
            <w:gridSpan w:val="2"/>
            <w:tcBorders>
              <w:tl2br w:val="nil"/>
              <w:tr2bl w:val="nil"/>
            </w:tcBorders>
            <w:vAlign w:val="center"/>
          </w:tcPr>
          <w:p>
            <w:pPr>
              <w:widowControl/>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通讯地址</w:t>
            </w:r>
          </w:p>
        </w:tc>
        <w:tc>
          <w:tcPr>
            <w:tcW w:w="5102" w:type="dxa"/>
            <w:gridSpan w:val="7"/>
            <w:tcBorders>
              <w:tl2br w:val="nil"/>
              <w:tr2bl w:val="nil"/>
            </w:tcBorders>
            <w:vAlign w:val="center"/>
          </w:tcPr>
          <w:p>
            <w:pPr>
              <w:jc w:val="center"/>
              <w:rPr>
                <w:rFonts w:ascii="仿宋" w:hAnsi="仿宋" w:eastAsia="仿宋" w:cs="仿宋"/>
                <w:color w:val="000000"/>
                <w:sz w:val="22"/>
              </w:rPr>
            </w:pPr>
          </w:p>
        </w:tc>
        <w:tc>
          <w:tcPr>
            <w:tcW w:w="989" w:type="dxa"/>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邮编</w:t>
            </w:r>
          </w:p>
        </w:tc>
        <w:tc>
          <w:tcPr>
            <w:tcW w:w="2128" w:type="dxa"/>
            <w:gridSpan w:val="2"/>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2" w:type="dxa"/>
            <w:gridSpan w:val="2"/>
            <w:tcBorders>
              <w:tl2br w:val="nil"/>
              <w:tr2bl w:val="nil"/>
            </w:tcBorders>
            <w:vAlign w:val="center"/>
          </w:tcPr>
          <w:p>
            <w:pPr>
              <w:widowControl/>
              <w:jc w:val="center"/>
              <w:textAlignment w:val="center"/>
              <w:rPr>
                <w:rFonts w:ascii="仿宋" w:hAnsi="仿宋" w:eastAsia="仿宋" w:cs="仿宋"/>
                <w:bCs/>
                <w:color w:val="000000"/>
                <w:sz w:val="22"/>
              </w:rPr>
            </w:pPr>
            <w:r>
              <w:rPr>
                <w:rFonts w:hint="eastAsia" w:ascii="仿宋" w:hAnsi="仿宋" w:eastAsia="仿宋" w:cs="仿宋"/>
                <w:bCs/>
                <w:color w:val="000000"/>
                <w:sz w:val="22"/>
              </w:rPr>
              <w:t>指定联系人</w:t>
            </w:r>
          </w:p>
        </w:tc>
        <w:tc>
          <w:tcPr>
            <w:tcW w:w="1416" w:type="dxa"/>
            <w:gridSpan w:val="2"/>
            <w:tcBorders>
              <w:tl2br w:val="nil"/>
              <w:tr2bl w:val="nil"/>
            </w:tcBorders>
            <w:vAlign w:val="center"/>
          </w:tcPr>
          <w:p>
            <w:pPr>
              <w:widowControl/>
              <w:jc w:val="center"/>
              <w:textAlignment w:val="center"/>
              <w:rPr>
                <w:rFonts w:ascii="仿宋" w:hAnsi="仿宋" w:eastAsia="仿宋" w:cs="仿宋"/>
                <w:bCs/>
                <w:color w:val="000000"/>
                <w:sz w:val="22"/>
              </w:rPr>
            </w:pPr>
            <w:r>
              <w:rPr>
                <w:rFonts w:hint="eastAsia" w:ascii="仿宋" w:hAnsi="仿宋" w:eastAsia="仿宋" w:cs="仿宋"/>
                <w:bCs/>
                <w:color w:val="000000"/>
                <w:sz w:val="22"/>
              </w:rPr>
              <w:t>姓名</w:t>
            </w:r>
          </w:p>
        </w:tc>
        <w:tc>
          <w:tcPr>
            <w:tcW w:w="2258" w:type="dxa"/>
            <w:gridSpan w:val="3"/>
            <w:tcBorders>
              <w:tl2br w:val="nil"/>
              <w:tr2bl w:val="nil"/>
            </w:tcBorders>
            <w:vAlign w:val="center"/>
          </w:tcPr>
          <w:p>
            <w:pPr>
              <w:widowControl/>
              <w:jc w:val="center"/>
              <w:rPr>
                <w:rFonts w:ascii="仿宋" w:hAnsi="仿宋" w:eastAsia="仿宋" w:cs="仿宋"/>
                <w:bCs/>
                <w:color w:val="000000"/>
                <w:kern w:val="0"/>
                <w:sz w:val="22"/>
                <w:lang w:bidi="ar"/>
              </w:rPr>
            </w:pPr>
            <w:r>
              <w:rPr>
                <w:rFonts w:hint="eastAsia" w:ascii="仿宋" w:hAnsi="仿宋" w:eastAsia="仿宋" w:cs="仿宋"/>
                <w:bCs/>
                <w:color w:val="000000"/>
                <w:kern w:val="0"/>
                <w:sz w:val="22"/>
                <w:lang w:bidi="ar"/>
              </w:rPr>
              <w:t>部门、职务</w:t>
            </w:r>
          </w:p>
        </w:tc>
        <w:tc>
          <w:tcPr>
            <w:tcW w:w="2417" w:type="dxa"/>
            <w:gridSpan w:val="3"/>
            <w:tcBorders>
              <w:tl2br w:val="nil"/>
              <w:tr2bl w:val="nil"/>
            </w:tcBorders>
            <w:vAlign w:val="center"/>
          </w:tcPr>
          <w:p>
            <w:pPr>
              <w:widowControl/>
              <w:jc w:val="center"/>
              <w:textAlignment w:val="center"/>
              <w:rPr>
                <w:rFonts w:ascii="仿宋" w:hAnsi="仿宋" w:eastAsia="仿宋" w:cs="仿宋"/>
                <w:bCs/>
                <w:color w:val="000000"/>
                <w:kern w:val="0"/>
                <w:sz w:val="22"/>
                <w:lang w:bidi="ar"/>
              </w:rPr>
            </w:pPr>
            <w:r>
              <w:rPr>
                <w:rFonts w:hint="eastAsia" w:ascii="仿宋" w:hAnsi="仿宋" w:eastAsia="仿宋" w:cs="仿宋"/>
                <w:bCs/>
                <w:color w:val="000000"/>
                <w:kern w:val="0"/>
                <w:sz w:val="22"/>
                <w:lang w:bidi="ar"/>
              </w:rPr>
              <w:t>座机、</w:t>
            </w:r>
            <w:r>
              <w:rPr>
                <w:rFonts w:hint="eastAsia" w:ascii="仿宋" w:hAnsi="仿宋" w:eastAsia="仿宋" w:cs="仿宋"/>
                <w:bCs/>
                <w:color w:val="000000"/>
                <w:kern w:val="0"/>
                <w:sz w:val="22"/>
                <w:lang w:eastAsia="zh-CN" w:bidi="ar"/>
              </w:rPr>
              <w:t>工作</w:t>
            </w:r>
            <w:r>
              <w:rPr>
                <w:rFonts w:hint="eastAsia" w:ascii="仿宋" w:hAnsi="仿宋" w:eastAsia="仿宋" w:cs="仿宋"/>
                <w:bCs/>
                <w:color w:val="000000"/>
                <w:kern w:val="0"/>
                <w:sz w:val="22"/>
                <w:lang w:bidi="ar"/>
              </w:rPr>
              <w:t>手机</w:t>
            </w:r>
          </w:p>
        </w:tc>
        <w:tc>
          <w:tcPr>
            <w:tcW w:w="2128" w:type="dxa"/>
            <w:gridSpan w:val="2"/>
            <w:tcBorders>
              <w:tl2br w:val="nil"/>
              <w:tr2bl w:val="nil"/>
            </w:tcBorders>
            <w:vAlign w:val="center"/>
          </w:tcPr>
          <w:p>
            <w:pPr>
              <w:jc w:val="center"/>
              <w:rPr>
                <w:rFonts w:ascii="仿宋" w:hAnsi="仿宋" w:eastAsia="仿宋" w:cs="仿宋"/>
                <w:bCs/>
                <w:color w:val="000000"/>
                <w:sz w:val="22"/>
              </w:rPr>
            </w:pPr>
            <w:r>
              <w:rPr>
                <w:rFonts w:hint="eastAsia" w:ascii="仿宋" w:hAnsi="仿宋" w:eastAsia="仿宋" w:cs="仿宋"/>
                <w:bCs/>
                <w:color w:val="000000"/>
                <w:sz w:val="22"/>
                <w:lang w:eastAsia="zh-CN"/>
              </w:rPr>
              <w:t>工作</w:t>
            </w:r>
            <w:r>
              <w:rPr>
                <w:rFonts w:hint="eastAsia" w:ascii="仿宋" w:hAnsi="仿宋" w:eastAsia="仿宋" w:cs="仿宋"/>
                <w:bCs/>
                <w:color w:val="000000"/>
                <w:sz w:val="22"/>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82" w:type="dxa"/>
            <w:gridSpan w:val="2"/>
            <w:tcBorders>
              <w:tl2br w:val="nil"/>
              <w:tr2bl w:val="nil"/>
            </w:tcBorders>
            <w:vAlign w:val="center"/>
          </w:tcPr>
          <w:p>
            <w:pPr>
              <w:widowControl/>
              <w:jc w:val="center"/>
              <w:textAlignment w:val="center"/>
              <w:rPr>
                <w:rFonts w:ascii="仿宋" w:hAnsi="仿宋" w:eastAsia="仿宋" w:cs="仿宋"/>
                <w:bCs/>
                <w:color w:val="000000"/>
                <w:kern w:val="0"/>
                <w:sz w:val="22"/>
                <w:lang w:bidi="ar"/>
              </w:rPr>
            </w:pPr>
            <w:r>
              <w:rPr>
                <w:rFonts w:hint="eastAsia" w:ascii="仿宋" w:hAnsi="仿宋" w:eastAsia="仿宋" w:cs="仿宋"/>
                <w:bCs/>
                <w:color w:val="000000"/>
                <w:kern w:val="0"/>
                <w:sz w:val="22"/>
                <w:lang w:bidi="ar"/>
              </w:rPr>
              <w:t>机构代表</w:t>
            </w:r>
          </w:p>
        </w:tc>
        <w:tc>
          <w:tcPr>
            <w:tcW w:w="1416" w:type="dxa"/>
            <w:gridSpan w:val="2"/>
            <w:tcBorders>
              <w:tl2br w:val="nil"/>
              <w:tr2bl w:val="nil"/>
            </w:tcBorders>
            <w:vAlign w:val="center"/>
          </w:tcPr>
          <w:p>
            <w:pPr>
              <w:widowControl/>
              <w:jc w:val="center"/>
              <w:textAlignment w:val="center"/>
              <w:rPr>
                <w:rFonts w:ascii="仿宋" w:hAnsi="仿宋" w:eastAsia="仿宋" w:cs="仿宋"/>
                <w:bCs/>
                <w:color w:val="000000"/>
                <w:sz w:val="22"/>
              </w:rPr>
            </w:pPr>
          </w:p>
        </w:tc>
        <w:tc>
          <w:tcPr>
            <w:tcW w:w="2258" w:type="dxa"/>
            <w:gridSpan w:val="3"/>
            <w:tcBorders>
              <w:tl2br w:val="nil"/>
              <w:tr2bl w:val="nil"/>
            </w:tcBorders>
            <w:vAlign w:val="center"/>
          </w:tcPr>
          <w:p>
            <w:pPr>
              <w:widowControl/>
              <w:jc w:val="center"/>
              <w:rPr>
                <w:rFonts w:ascii="仿宋" w:hAnsi="仿宋" w:eastAsia="仿宋" w:cs="仿宋"/>
                <w:bCs/>
                <w:color w:val="000000"/>
                <w:kern w:val="0"/>
                <w:sz w:val="22"/>
                <w:lang w:bidi="ar"/>
              </w:rPr>
            </w:pPr>
          </w:p>
        </w:tc>
        <w:tc>
          <w:tcPr>
            <w:tcW w:w="2417" w:type="dxa"/>
            <w:gridSpan w:val="3"/>
            <w:tcBorders>
              <w:tl2br w:val="nil"/>
              <w:tr2bl w:val="nil"/>
            </w:tcBorders>
            <w:vAlign w:val="center"/>
          </w:tcPr>
          <w:p>
            <w:pPr>
              <w:widowControl/>
              <w:jc w:val="center"/>
              <w:textAlignment w:val="center"/>
              <w:rPr>
                <w:rFonts w:ascii="仿宋" w:hAnsi="仿宋" w:eastAsia="仿宋" w:cs="仿宋"/>
                <w:bCs/>
                <w:color w:val="000000"/>
                <w:kern w:val="0"/>
                <w:sz w:val="22"/>
                <w:lang w:bidi="ar"/>
              </w:rPr>
            </w:pPr>
          </w:p>
        </w:tc>
        <w:tc>
          <w:tcPr>
            <w:tcW w:w="2128" w:type="dxa"/>
            <w:gridSpan w:val="2"/>
            <w:tcBorders>
              <w:tl2br w:val="nil"/>
              <w:tr2bl w:val="nil"/>
            </w:tcBorders>
            <w:vAlign w:val="center"/>
          </w:tcPr>
          <w:p>
            <w:pPr>
              <w:jc w:val="center"/>
              <w:rPr>
                <w:rFonts w:ascii="仿宋" w:hAnsi="仿宋" w:eastAsia="仿宋" w:cs="仿宋"/>
                <w:bCs/>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982" w:type="dxa"/>
            <w:gridSpan w:val="2"/>
            <w:tcBorders>
              <w:bottom w:val="single" w:color="auto" w:sz="4" w:space="0"/>
              <w:tl2br w:val="nil"/>
              <w:tr2bl w:val="nil"/>
            </w:tcBorders>
            <w:vAlign w:val="center"/>
          </w:tcPr>
          <w:p>
            <w:pPr>
              <w:widowControl/>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业务联络员</w:t>
            </w:r>
          </w:p>
        </w:tc>
        <w:tc>
          <w:tcPr>
            <w:tcW w:w="1416" w:type="dxa"/>
            <w:gridSpan w:val="2"/>
            <w:tcBorders>
              <w:bottom w:val="single" w:color="auto" w:sz="4" w:space="0"/>
              <w:tl2br w:val="nil"/>
              <w:tr2bl w:val="nil"/>
            </w:tcBorders>
            <w:vAlign w:val="center"/>
          </w:tcPr>
          <w:p>
            <w:pPr>
              <w:widowControl/>
              <w:jc w:val="center"/>
              <w:rPr>
                <w:rFonts w:ascii="仿宋" w:hAnsi="仿宋" w:eastAsia="仿宋" w:cs="仿宋"/>
                <w:color w:val="000000"/>
                <w:kern w:val="0"/>
                <w:sz w:val="22"/>
                <w:lang w:bidi="ar"/>
              </w:rPr>
            </w:pPr>
          </w:p>
        </w:tc>
        <w:tc>
          <w:tcPr>
            <w:tcW w:w="2258" w:type="dxa"/>
            <w:gridSpan w:val="3"/>
            <w:tcBorders>
              <w:bottom w:val="single" w:color="auto" w:sz="4" w:space="0"/>
              <w:tl2br w:val="nil"/>
              <w:tr2bl w:val="nil"/>
            </w:tcBorders>
            <w:vAlign w:val="center"/>
          </w:tcPr>
          <w:p>
            <w:pPr>
              <w:jc w:val="center"/>
              <w:rPr>
                <w:rFonts w:ascii="仿宋" w:hAnsi="仿宋" w:eastAsia="仿宋" w:cs="仿宋"/>
                <w:color w:val="000000"/>
                <w:sz w:val="22"/>
              </w:rPr>
            </w:pPr>
          </w:p>
        </w:tc>
        <w:tc>
          <w:tcPr>
            <w:tcW w:w="2417" w:type="dxa"/>
            <w:gridSpan w:val="3"/>
            <w:tcBorders>
              <w:bottom w:val="single" w:color="auto" w:sz="4" w:space="0"/>
              <w:tl2br w:val="nil"/>
              <w:tr2bl w:val="nil"/>
            </w:tcBorders>
            <w:vAlign w:val="center"/>
          </w:tcPr>
          <w:p>
            <w:pPr>
              <w:widowControl/>
              <w:jc w:val="center"/>
              <w:textAlignment w:val="center"/>
              <w:rPr>
                <w:rFonts w:ascii="仿宋" w:hAnsi="仿宋" w:eastAsia="仿宋" w:cs="仿宋"/>
                <w:color w:val="000000"/>
                <w:kern w:val="0"/>
                <w:sz w:val="22"/>
                <w:lang w:bidi="ar"/>
              </w:rPr>
            </w:pPr>
          </w:p>
        </w:tc>
        <w:tc>
          <w:tcPr>
            <w:tcW w:w="2128" w:type="dxa"/>
            <w:gridSpan w:val="2"/>
            <w:tcBorders>
              <w:bottom w:val="single" w:color="auto" w:sz="4" w:space="0"/>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op w:val="single" w:color="auto" w:sz="4" w:space="0"/>
              <w:bottom w:val="single" w:color="auto" w:sz="4" w:space="0"/>
              <w:tl2br w:val="nil"/>
              <w:tr2bl w:val="nil"/>
            </w:tcBorders>
            <w:shd w:val="clear" w:color="auto" w:fill="auto"/>
            <w:vAlign w:val="center"/>
          </w:tcPr>
          <w:p>
            <w:pPr>
              <w:jc w:val="center"/>
              <w:rPr>
                <w:rFonts w:ascii="黑体" w:hAnsi="黑体" w:eastAsia="黑体" w:cs="仿宋"/>
                <w:sz w:val="24"/>
              </w:rPr>
            </w:pPr>
            <w:r>
              <w:rPr>
                <w:rFonts w:hint="eastAsia" w:ascii="黑体" w:hAnsi="黑体" w:eastAsia="黑体" w:cs="仿宋"/>
                <w:sz w:val="24"/>
              </w:rPr>
              <w:t>票交所业务申请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982" w:type="dxa"/>
            <w:gridSpan w:val="2"/>
            <w:vMerge w:val="restart"/>
            <w:tcBorders>
              <w:top w:val="single" w:color="auto" w:sz="4" w:space="0"/>
              <w:right w:val="single" w:color="auto" w:sz="4" w:space="0"/>
              <w:tl2br w:val="nil"/>
              <w:tr2bl w:val="nil"/>
            </w:tcBorders>
            <w:shd w:val="clear" w:color="auto" w:fill="auto"/>
            <w:vAlign w:val="center"/>
          </w:tcPr>
          <w:p>
            <w:pPr>
              <w:widowControl/>
              <w:jc w:val="center"/>
              <w:textAlignment w:val="top"/>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票据业务</w:t>
            </w:r>
          </w:p>
          <w:p>
            <w:pPr>
              <w:widowControl/>
              <w:jc w:val="center"/>
              <w:textAlignment w:val="top"/>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bidi="ar"/>
              </w:rPr>
              <w:t>□首次业务</w:t>
            </w:r>
            <w:r>
              <w:rPr>
                <w:rFonts w:hint="eastAsia" w:ascii="仿宋" w:hAnsi="仿宋" w:eastAsia="仿宋" w:cs="仿宋"/>
                <w:color w:val="000000"/>
                <w:kern w:val="0"/>
                <w:sz w:val="22"/>
                <w:lang w:eastAsia="zh-CN" w:bidi="ar"/>
              </w:rPr>
              <w:t>申请</w:t>
            </w:r>
          </w:p>
          <w:p>
            <w:pPr>
              <w:widowControl/>
              <w:jc w:val="center"/>
              <w:textAlignment w:val="top"/>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□业务范围变更</w:t>
            </w:r>
          </w:p>
        </w:tc>
        <w:tc>
          <w:tcPr>
            <w:tcW w:w="8219" w:type="dxa"/>
            <w:gridSpan w:val="10"/>
            <w:tcBorders>
              <w:top w:val="single" w:color="auto" w:sz="4" w:space="0"/>
              <w:left w:val="single" w:color="auto" w:sz="4" w:space="0"/>
              <w:bottom w:val="single" w:color="auto" w:sz="4" w:space="0"/>
              <w:tl2br w:val="nil"/>
              <w:tr2bl w:val="nil"/>
            </w:tcBorders>
            <w:shd w:val="clear" w:color="auto" w:fill="auto"/>
            <w:vAlign w:val="center"/>
          </w:tcPr>
          <w:p>
            <w:pPr>
              <w:widowControl/>
              <w:spacing w:before="120" w:beforeLines="50"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□承兑</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 xml:space="preserve">□贴现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 xml:space="preserve">□保证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 xml:space="preserve">□质押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□到期处理（提示付款、兑付、追索）</w:t>
            </w:r>
          </w:p>
          <w:p>
            <w:pPr>
              <w:widowControl/>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 xml:space="preserve">□票据交易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 xml:space="preserve">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 xml:space="preserve">□再贴现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□其他：</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982" w:type="dxa"/>
            <w:gridSpan w:val="2"/>
            <w:vMerge w:val="continue"/>
            <w:tcBorders>
              <w:bottom w:val="single" w:color="auto" w:sz="4" w:space="0"/>
              <w:right w:val="single" w:color="auto" w:sz="4" w:space="0"/>
              <w:tl2br w:val="nil"/>
              <w:tr2bl w:val="nil"/>
            </w:tcBorders>
            <w:shd w:val="clear" w:color="auto" w:fill="auto"/>
            <w:vAlign w:val="center"/>
          </w:tcPr>
          <w:p>
            <w:pPr>
              <w:widowControl/>
              <w:jc w:val="center"/>
              <w:textAlignment w:val="top"/>
              <w:rPr>
                <w:rFonts w:ascii="仿宋" w:hAnsi="仿宋" w:eastAsia="仿宋" w:cs="仿宋"/>
                <w:color w:val="000000"/>
                <w:kern w:val="0"/>
                <w:sz w:val="22"/>
                <w:lang w:bidi="ar"/>
              </w:rPr>
            </w:pPr>
          </w:p>
        </w:tc>
        <w:tc>
          <w:tcPr>
            <w:tcW w:w="3405" w:type="dxa"/>
            <w:gridSpan w:val="4"/>
            <w:tcBorders>
              <w:top w:val="single" w:color="auto" w:sz="4" w:space="0"/>
              <w:left w:val="single" w:color="auto" w:sz="4" w:space="0"/>
              <w:bottom w:val="single" w:color="auto" w:sz="4" w:space="0"/>
              <w:right w:val="nil"/>
            </w:tcBorders>
            <w:shd w:val="clear" w:color="auto" w:fill="auto"/>
            <w:vAlign w:val="center"/>
          </w:tcPr>
          <w:p>
            <w:pPr>
              <w:widowControl/>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□为间接参与者提供票据服务：</w:t>
            </w:r>
          </w:p>
        </w:tc>
        <w:tc>
          <w:tcPr>
            <w:tcW w:w="4814" w:type="dxa"/>
            <w:gridSpan w:val="6"/>
            <w:tcBorders>
              <w:top w:val="single" w:color="auto" w:sz="4" w:space="0"/>
              <w:left w:val="nil"/>
              <w:bottom w:val="single" w:color="auto" w:sz="4" w:space="0"/>
            </w:tcBorders>
            <w:shd w:val="clear" w:color="auto" w:fill="auto"/>
            <w:vAlign w:val="center"/>
          </w:tcPr>
          <w:p>
            <w:pPr>
              <w:widowControl/>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 xml:space="preserve">□出票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□承兑  □贴现  □保证  □质押</w:t>
            </w:r>
          </w:p>
          <w:p>
            <w:pPr>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□到期处理（提示付款、兑付、追索）</w:t>
            </w:r>
          </w:p>
          <w:p>
            <w:pPr>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□背书支付   □其他：</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982" w:type="dxa"/>
            <w:gridSpan w:val="2"/>
            <w:vMerge w:val="restart"/>
            <w:tcBorders>
              <w:top w:val="single" w:color="auto" w:sz="4" w:space="0"/>
              <w:right w:val="single" w:color="auto" w:sz="4" w:space="0"/>
              <w:tl2br w:val="nil"/>
              <w:tr2bl w:val="nil"/>
            </w:tcBorders>
            <w:shd w:val="clear" w:color="auto" w:fill="auto"/>
            <w:vAlign w:val="center"/>
          </w:tcPr>
          <w:p>
            <w:pPr>
              <w:widowControl/>
              <w:jc w:val="center"/>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参与者服务</w:t>
            </w:r>
          </w:p>
        </w:tc>
        <w:tc>
          <w:tcPr>
            <w:tcW w:w="8219" w:type="dxa"/>
            <w:gridSpan w:val="10"/>
            <w:tcBorders>
              <w:top w:val="single" w:color="auto" w:sz="4" w:space="0"/>
              <w:left w:val="single" w:color="auto" w:sz="4" w:space="0"/>
              <w:bottom w:val="single" w:color="auto" w:sz="4" w:space="0"/>
              <w:tl2br w:val="nil"/>
              <w:tr2bl w:val="nil"/>
            </w:tcBorders>
            <w:shd w:val="clear" w:color="auto" w:fill="auto"/>
            <w:vAlign w:val="center"/>
          </w:tcPr>
          <w:p>
            <w:pPr>
              <w:widowControl/>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□“票付通”业务：</w:t>
            </w:r>
          </w:p>
          <w:p>
            <w:pPr>
              <w:widowControl/>
              <w:spacing w:line="360" w:lineRule="auto"/>
              <w:ind w:firstLine="440" w:firstLineChars="200"/>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□申请成为“票付通”合作金融机构</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□申请成为“票付通”开户机构</w:t>
            </w:r>
          </w:p>
          <w:p>
            <w:pPr>
              <w:widowControl/>
              <w:spacing w:line="360" w:lineRule="auto"/>
              <w:ind w:firstLine="440" w:firstLineChars="200"/>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□新增接入B2B平台，平台名称：</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ascii="仿宋" w:hAnsi="仿宋" w:eastAsia="仿宋" w:cs="仿宋"/>
                <w:color w:val="000000"/>
                <w:kern w:val="0"/>
                <w:sz w:val="22"/>
                <w:lang w:bidi="ar"/>
              </w:rPr>
              <w:t xml:space="preserve"> </w:t>
            </w:r>
          </w:p>
          <w:p>
            <w:pPr>
              <w:widowControl/>
              <w:spacing w:line="360" w:lineRule="auto"/>
              <w:ind w:firstLine="440" w:firstLineChars="200"/>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平台主页网址：</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lang w:bidi="ar"/>
              </w:rPr>
              <w:t>合作金融机构：</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982" w:type="dxa"/>
            <w:gridSpan w:val="2"/>
            <w:vMerge w:val="continue"/>
            <w:tcBorders>
              <w:right w:val="single" w:color="auto" w:sz="4" w:space="0"/>
              <w:tl2br w:val="nil"/>
              <w:tr2bl w:val="nil"/>
            </w:tcBorders>
            <w:shd w:val="clear" w:color="auto" w:fill="auto"/>
            <w:vAlign w:val="center"/>
          </w:tcPr>
          <w:p>
            <w:pPr>
              <w:widowControl/>
              <w:spacing w:line="360" w:lineRule="auto"/>
              <w:jc w:val="left"/>
              <w:textAlignment w:val="top"/>
            </w:pPr>
          </w:p>
        </w:tc>
        <w:tc>
          <w:tcPr>
            <w:tcW w:w="8219" w:type="dxa"/>
            <w:gridSpan w:val="10"/>
            <w:tcBorders>
              <w:top w:val="single" w:color="auto" w:sz="4" w:space="0"/>
              <w:left w:val="single" w:color="auto" w:sz="4" w:space="0"/>
              <w:bottom w:val="single" w:color="auto" w:sz="4" w:space="0"/>
              <w:tl2br w:val="nil"/>
              <w:tr2bl w:val="nil"/>
            </w:tcBorders>
            <w:shd w:val="clear" w:color="auto" w:fill="auto"/>
            <w:vAlign w:val="center"/>
          </w:tcPr>
          <w:p>
            <w:pPr>
              <w:widowControl/>
              <w:spacing w:line="360" w:lineRule="auto"/>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□“供应链票据”业务：</w:t>
            </w:r>
          </w:p>
          <w:p>
            <w:pPr>
              <w:widowControl/>
              <w:spacing w:line="360" w:lineRule="auto"/>
              <w:ind w:firstLine="440" w:firstLineChars="200"/>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□申请接入供应链票据平台，平台系统名称：</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1982" w:type="dxa"/>
            <w:gridSpan w:val="2"/>
            <w:vMerge w:val="continue"/>
            <w:tcBorders>
              <w:bottom w:val="single" w:color="auto" w:sz="4" w:space="0"/>
              <w:right w:val="single" w:color="auto" w:sz="4" w:space="0"/>
              <w:tl2br w:val="nil"/>
              <w:tr2bl w:val="nil"/>
            </w:tcBorders>
            <w:shd w:val="clear" w:color="auto" w:fill="auto"/>
            <w:vAlign w:val="center"/>
          </w:tcPr>
          <w:p>
            <w:pPr>
              <w:widowControl/>
              <w:spacing w:line="360" w:lineRule="auto"/>
              <w:jc w:val="left"/>
              <w:textAlignment w:val="top"/>
              <w:rPr>
                <w:rFonts w:ascii="仿宋" w:hAnsi="仿宋" w:eastAsia="仿宋" w:cs="仿宋"/>
                <w:color w:val="000000"/>
                <w:kern w:val="0"/>
                <w:sz w:val="22"/>
                <w:lang w:bidi="ar"/>
              </w:rPr>
            </w:pPr>
          </w:p>
        </w:tc>
        <w:tc>
          <w:tcPr>
            <w:tcW w:w="8219" w:type="dxa"/>
            <w:gridSpan w:val="10"/>
            <w:tcBorders>
              <w:top w:val="single" w:color="auto" w:sz="4" w:space="0"/>
              <w:left w:val="single" w:color="auto" w:sz="4" w:space="0"/>
              <w:bottom w:val="single" w:color="auto" w:sz="4" w:space="0"/>
              <w:tl2br w:val="nil"/>
              <w:tr2bl w:val="nil"/>
            </w:tcBorders>
            <w:shd w:val="clear" w:color="auto" w:fill="auto"/>
            <w:vAlign w:val="center"/>
          </w:tcPr>
          <w:p>
            <w:pPr>
              <w:widowControl/>
              <w:spacing w:before="240" w:beforeLines="100"/>
              <w:jc w:val="left"/>
              <w:textAlignment w:val="top"/>
              <w:rPr>
                <w:rFonts w:ascii="仿宋" w:hAnsi="仿宋" w:eastAsia="仿宋" w:cs="仿宋"/>
                <w:color w:val="000000"/>
                <w:kern w:val="0"/>
                <w:sz w:val="22"/>
                <w:lang w:bidi="ar"/>
              </w:rPr>
            </w:pPr>
            <w:r>
              <w:rPr>
                <w:rFonts w:hint="eastAsia" w:ascii="仿宋" w:hAnsi="仿宋" w:eastAsia="仿宋" w:cs="仿宋"/>
                <w:color w:val="000000"/>
                <w:kern w:val="0"/>
                <w:sz w:val="22"/>
                <w:lang w:bidi="ar"/>
              </w:rPr>
              <w:t>□其他：</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jc w:val="center"/>
              <w:rPr>
                <w:rFonts w:ascii="黑体" w:hAnsi="黑体" w:eastAsia="黑体" w:cs="仿宋"/>
                <w:sz w:val="24"/>
              </w:rPr>
            </w:pPr>
            <w:r>
              <w:rPr>
                <w:rFonts w:hint="eastAsia" w:ascii="黑体" w:hAnsi="黑体" w:eastAsia="黑体" w:cs="仿宋"/>
                <w:sz w:val="24"/>
              </w:rPr>
              <w:t>资金账户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201" w:type="dxa"/>
            <w:gridSpan w:val="1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spacing w:before="120" w:beforeLines="50" w:line="360" w:lineRule="auto"/>
              <w:rPr>
                <w:rFonts w:ascii="仿宋" w:hAnsi="仿宋" w:eastAsia="仿宋" w:cs="仿宋"/>
                <w:color w:val="000000"/>
                <w:kern w:val="0"/>
                <w:sz w:val="22"/>
                <w:lang w:bidi="ar"/>
              </w:rPr>
            </w:pPr>
            <w:r>
              <w:rPr>
                <w:rFonts w:hint="eastAsia" w:ascii="仿宋" w:hAnsi="仿宋" w:eastAsia="仿宋" w:cs="仿宋"/>
                <w:color w:val="000000"/>
                <w:kern w:val="0"/>
                <w:sz w:val="22"/>
                <w:lang w:bidi="ar"/>
              </w:rPr>
              <w:t>□使用本机构人行清算账户（请在下方填写大额支付系统清算账户信息）</w:t>
            </w:r>
          </w:p>
          <w:p>
            <w:pPr>
              <w:spacing w:line="360" w:lineRule="auto"/>
              <w:ind w:firstLine="220" w:firstLineChars="100"/>
              <w:rPr>
                <w:rFonts w:ascii="仿宋" w:hAnsi="仿宋" w:eastAsia="仿宋" w:cs="仿宋"/>
                <w:color w:val="000000"/>
                <w:kern w:val="0"/>
                <w:sz w:val="22"/>
                <w:u w:val="single"/>
                <w:lang w:bidi="ar"/>
              </w:rPr>
            </w:pPr>
            <w:r>
              <w:rPr>
                <w:rFonts w:hint="eastAsia" w:ascii="仿宋" w:hAnsi="仿宋" w:eastAsia="仿宋" w:cs="仿宋"/>
                <w:color w:val="000000"/>
                <w:kern w:val="0"/>
                <w:sz w:val="22"/>
                <w:lang w:bidi="ar"/>
              </w:rPr>
              <w:t xml:space="preserve">本机构为大额支付系统的直接参与者：□是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□否</w:t>
            </w:r>
          </w:p>
          <w:p>
            <w:pPr>
              <w:spacing w:line="360" w:lineRule="auto"/>
              <w:ind w:firstLine="220" w:firstLineChars="100"/>
              <w:rPr>
                <w:rFonts w:ascii="仿宋" w:hAnsi="仿宋" w:eastAsia="仿宋" w:cs="仿宋"/>
                <w:color w:val="000000"/>
                <w:kern w:val="0"/>
                <w:sz w:val="22"/>
                <w:u w:val="single"/>
                <w:lang w:bidi="ar"/>
              </w:rPr>
            </w:pPr>
            <w:r>
              <w:rPr>
                <w:rFonts w:hint="eastAsia" w:ascii="仿宋" w:hAnsi="仿宋" w:eastAsia="仿宋" w:cs="仿宋"/>
                <w:color w:val="000000"/>
                <w:kern w:val="0"/>
                <w:sz w:val="22"/>
                <w:lang w:bidi="ar"/>
              </w:rPr>
              <w:t>大额行名：</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lang w:bidi="ar"/>
              </w:rPr>
              <w:t xml:space="preserve">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大额行号：</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p>
            <w:pPr>
              <w:spacing w:line="360" w:lineRule="auto"/>
              <w:rPr>
                <w:rFonts w:ascii="仿宋" w:hAnsi="仿宋" w:eastAsia="仿宋" w:cs="仿宋"/>
                <w:color w:val="000000"/>
                <w:kern w:val="0"/>
                <w:sz w:val="22"/>
                <w:lang w:bidi="ar"/>
              </w:rPr>
            </w:pPr>
            <w:r>
              <w:rPr>
                <w:rFonts w:hint="eastAsia" w:ascii="仿宋" w:hAnsi="仿宋" w:eastAsia="仿宋" w:cs="仿宋"/>
                <w:color w:val="000000"/>
                <w:kern w:val="0"/>
                <w:sz w:val="22"/>
                <w:lang w:bidi="ar"/>
              </w:rPr>
              <w:t>□使用会员资金账户（请在下方填写在商业银行开立的出金账户信息，有大额行号的银行和财务公司</w:t>
            </w:r>
          </w:p>
          <w:p>
            <w:pPr>
              <w:spacing w:line="360" w:lineRule="auto"/>
              <w:ind w:firstLine="220" w:firstLineChars="100"/>
              <w:rPr>
                <w:rFonts w:ascii="仿宋" w:hAnsi="仿宋" w:eastAsia="仿宋" w:cs="仿宋"/>
                <w:color w:val="000000"/>
                <w:kern w:val="0"/>
                <w:sz w:val="22"/>
                <w:lang w:bidi="ar"/>
              </w:rPr>
            </w:pPr>
            <w:r>
              <w:rPr>
                <w:rFonts w:hint="eastAsia" w:ascii="仿宋" w:hAnsi="仿宋" w:eastAsia="仿宋" w:cs="仿宋"/>
                <w:color w:val="000000"/>
                <w:kern w:val="0"/>
                <w:sz w:val="22"/>
                <w:lang w:bidi="ar"/>
              </w:rPr>
              <w:t>还需在上方填写本行大额行名和大额行号）</w:t>
            </w:r>
          </w:p>
          <w:p>
            <w:pPr>
              <w:spacing w:line="360" w:lineRule="auto"/>
              <w:ind w:firstLine="220" w:firstLineChars="100"/>
              <w:rPr>
                <w:rFonts w:ascii="仿宋" w:hAnsi="仿宋" w:eastAsia="仿宋" w:cs="仿宋"/>
                <w:color w:val="000000"/>
                <w:kern w:val="0"/>
                <w:sz w:val="22"/>
                <w:u w:val="single"/>
                <w:lang w:bidi="ar"/>
              </w:rPr>
            </w:pPr>
            <w:r>
              <w:rPr>
                <w:rFonts w:hint="eastAsia" w:ascii="仿宋" w:hAnsi="仿宋" w:eastAsia="仿宋" w:cs="仿宋"/>
                <w:color w:val="000000"/>
                <w:kern w:val="0"/>
                <w:sz w:val="22"/>
                <w:lang w:bidi="ar"/>
              </w:rPr>
              <w:t>出金账户名称：</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出金账户账号：</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p>
            <w:pPr>
              <w:spacing w:line="360" w:lineRule="auto"/>
              <w:ind w:firstLine="220" w:firstLineChars="100"/>
              <w:rPr>
                <w:rFonts w:ascii="仿宋" w:hAnsi="仿宋" w:eastAsia="仿宋" w:cs="仿宋"/>
                <w:color w:val="000000"/>
                <w:kern w:val="0"/>
                <w:sz w:val="22"/>
                <w:lang w:bidi="ar"/>
              </w:rPr>
            </w:pPr>
            <w:r>
              <w:rPr>
                <w:rFonts w:hint="eastAsia" w:ascii="仿宋" w:hAnsi="仿宋" w:eastAsia="仿宋" w:cs="仿宋"/>
                <w:color w:val="000000"/>
                <w:kern w:val="0"/>
                <w:sz w:val="22"/>
                <w:lang w:bidi="ar"/>
              </w:rPr>
              <w:t>开户行行名：</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ascii="仿宋" w:hAnsi="仿宋" w:eastAsia="仿宋" w:cs="仿宋"/>
                <w:color w:val="000000"/>
                <w:kern w:val="0"/>
                <w:sz w:val="22"/>
                <w:lang w:bidi="ar"/>
              </w:rPr>
              <w:t xml:space="preserve">  </w:t>
            </w:r>
            <w:r>
              <w:rPr>
                <w:rFonts w:hint="eastAsia" w:ascii="仿宋" w:hAnsi="仿宋" w:eastAsia="仿宋" w:cs="仿宋"/>
                <w:color w:val="000000"/>
                <w:kern w:val="0"/>
                <w:sz w:val="22"/>
                <w:lang w:bidi="ar"/>
              </w:rPr>
              <w:t>开户行行号：</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r>
              <w:rPr>
                <w:rFonts w:hint="eastAsia" w:ascii="仿宋" w:hAnsi="仿宋" w:eastAsia="仿宋" w:cs="仿宋"/>
                <w:color w:val="000000"/>
                <w:kern w:val="0"/>
                <w:sz w:val="22"/>
                <w:u w:val="single"/>
                <w:lang w:bidi="ar"/>
              </w:rPr>
              <w:t xml:space="preserve">         </w:t>
            </w:r>
            <w:r>
              <w:rPr>
                <w:rFonts w:ascii="仿宋" w:hAnsi="仿宋" w:eastAsia="仿宋" w:cs="仿宋"/>
                <w:color w:val="000000"/>
                <w:kern w:val="0"/>
                <w:sz w:val="22"/>
                <w:u w:val="singl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op w:val="single" w:color="auto" w:sz="4" w:space="0"/>
              <w:bottom w:val="single" w:color="auto" w:sz="4" w:space="0"/>
              <w:tl2br w:val="nil"/>
              <w:tr2bl w:val="nil"/>
            </w:tcBorders>
            <w:shd w:val="clear" w:color="auto" w:fill="auto"/>
            <w:vAlign w:val="center"/>
          </w:tcPr>
          <w:p>
            <w:pPr>
              <w:jc w:val="center"/>
              <w:rPr>
                <w:rFonts w:ascii="黑体" w:hAnsi="黑体" w:eastAsia="黑体" w:cs="仿宋"/>
                <w:sz w:val="24"/>
              </w:rPr>
            </w:pPr>
            <w:r>
              <w:rPr>
                <w:rFonts w:hint="eastAsia" w:ascii="黑体" w:hAnsi="黑体" w:eastAsia="黑体" w:cs="仿宋"/>
                <w:sz w:val="24"/>
              </w:rPr>
              <w:t>预留印鉴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8" w:hRule="atLeast"/>
        </w:trPr>
        <w:tc>
          <w:tcPr>
            <w:tcW w:w="3645" w:type="dxa"/>
            <w:gridSpan w:val="5"/>
            <w:tcBorders>
              <w:top w:val="single" w:color="auto" w:sz="4" w:space="0"/>
              <w:left w:val="single" w:color="auto" w:sz="4" w:space="0"/>
              <w:bottom w:val="single" w:color="auto" w:sz="4" w:space="0"/>
              <w:right w:val="single" w:color="auto" w:sz="4" w:space="0"/>
              <w:tl2br w:val="nil"/>
              <w:tr2bl w:val="nil"/>
            </w:tcBorders>
            <w:shd w:val="clear" w:color="auto" w:fill="auto"/>
          </w:tcPr>
          <w:p>
            <w:pPr>
              <w:rPr>
                <w:rFonts w:ascii="仿宋" w:hAnsi="仿宋" w:eastAsia="仿宋" w:cs="仿宋"/>
                <w:color w:val="000000"/>
                <w:sz w:val="22"/>
              </w:rPr>
            </w:pPr>
            <w:r>
              <w:rPr>
                <w:rFonts w:hint="eastAsia" w:ascii="仿宋" w:hAnsi="仿宋" w:eastAsia="仿宋" w:cs="仿宋"/>
                <w:color w:val="000000"/>
                <w:sz w:val="22"/>
              </w:rPr>
              <w:t>常规业务印鉴（壹枚）：</w:t>
            </w: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r>
              <w:rPr>
                <w:rFonts w:hint="eastAsia" w:ascii="仿宋" w:hAnsi="仿宋" w:eastAsia="仿宋" w:cs="仿宋"/>
                <w:color w:val="000000"/>
                <w:sz w:val="22"/>
                <w:szCs w:val="20"/>
              </w:rPr>
              <w:t>请预留法人机构公章，用于日常办理业务申请、材料报送等事宜。</w:t>
            </w:r>
          </w:p>
        </w:tc>
        <w:tc>
          <w:tcPr>
            <w:tcW w:w="6556" w:type="dxa"/>
            <w:gridSpan w:val="7"/>
            <w:tcBorders>
              <w:top w:val="single" w:color="auto" w:sz="4" w:space="0"/>
              <w:left w:val="single" w:color="auto" w:sz="4" w:space="0"/>
              <w:bottom w:val="single" w:color="auto" w:sz="4" w:space="0"/>
              <w:right w:val="single" w:color="auto" w:sz="4" w:space="0"/>
              <w:tl2br w:val="nil"/>
              <w:tr2bl w:val="nil"/>
            </w:tcBorders>
            <w:shd w:val="clear" w:color="auto" w:fill="auto"/>
          </w:tcPr>
          <w:p>
            <w:pPr>
              <w:rPr>
                <w:rFonts w:ascii="仿宋" w:hAnsi="仿宋" w:eastAsia="仿宋" w:cs="仿宋"/>
                <w:color w:val="000000"/>
                <w:sz w:val="22"/>
              </w:rPr>
            </w:pPr>
            <w:r>
              <w:rPr>
                <w:rFonts w:hint="eastAsia" w:ascii="仿宋" w:hAnsi="仿宋" w:eastAsia="仿宋" w:cs="仿宋"/>
                <w:color w:val="000000"/>
                <w:sz w:val="22"/>
              </w:rPr>
              <w:t>应急业务印鉴（   枚）：</w:t>
            </w: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p>
          <w:p>
            <w:pPr>
              <w:rPr>
                <w:rFonts w:ascii="仿宋" w:hAnsi="仿宋" w:eastAsia="仿宋" w:cs="仿宋"/>
                <w:color w:val="000000"/>
                <w:sz w:val="22"/>
              </w:rPr>
            </w:pPr>
            <w:r>
              <w:rPr>
                <w:rFonts w:hint="eastAsia" w:ascii="仿宋" w:hAnsi="仿宋" w:eastAsia="仿宋" w:cs="仿宋"/>
                <w:color w:val="000000"/>
                <w:sz w:val="22"/>
              </w:rPr>
              <w:t>请预留法人机构公章、经授权的内设部门公章，所留印鉴可独立用于办理应急业务，具有同等效力。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op w:val="single" w:color="auto" w:sz="4" w:space="0"/>
              <w:tl2br w:val="nil"/>
              <w:tr2bl w:val="nil"/>
            </w:tcBorders>
            <w:shd w:val="clear" w:color="auto" w:fill="auto"/>
            <w:vAlign w:val="center"/>
          </w:tcPr>
          <w:p>
            <w:pPr>
              <w:jc w:val="center"/>
              <w:rPr>
                <w:rFonts w:ascii="黑体" w:hAnsi="黑体" w:eastAsia="黑体" w:cs="仿宋"/>
                <w:sz w:val="22"/>
              </w:rPr>
            </w:pPr>
            <w:r>
              <w:rPr>
                <w:rFonts w:hint="eastAsia" w:ascii="黑体" w:hAnsi="黑体" w:eastAsia="黑体" w:cs="仿宋"/>
                <w:sz w:val="22"/>
              </w:rPr>
              <w:t>承诺事项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0201" w:type="dxa"/>
            <w:gridSpan w:val="12"/>
            <w:tcBorders>
              <w:top w:val="single" w:color="auto" w:sz="4" w:space="0"/>
              <w:tl2br w:val="nil"/>
              <w:tr2bl w:val="nil"/>
            </w:tcBorders>
            <w:shd w:val="clear" w:color="auto" w:fill="auto"/>
            <w:vAlign w:val="center"/>
          </w:tcPr>
          <w:p>
            <w:pPr>
              <w:spacing w:before="120" w:beforeLines="50" w:line="360" w:lineRule="auto"/>
              <w:ind w:firstLine="440" w:firstLineChars="200"/>
              <w:rPr>
                <w:rFonts w:ascii="黑体" w:hAnsi="黑体" w:eastAsia="黑体" w:cs="仿宋"/>
                <w:sz w:val="22"/>
              </w:rPr>
            </w:pPr>
            <w:r>
              <w:rPr>
                <w:rFonts w:hint="eastAsia" w:ascii="仿宋" w:hAnsi="仿宋" w:eastAsia="仿宋" w:cs="仿宋"/>
                <w:color w:val="000000"/>
                <w:kern w:val="0"/>
                <w:sz w:val="22"/>
                <w:lang w:bidi="ar"/>
              </w:rPr>
              <w:t>我单位自愿申请成为票交所业务参与者。我单位承诺依法合规设立，具有健全的公司治理结构和完善的内部控制与风险管理机制。承诺提交的申请材料真实、准确、完整、有效，同意遵守中国人民银行和上海票据交易所关于所申请业务的相关规定及业务规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201" w:type="dxa"/>
            <w:gridSpan w:val="12"/>
            <w:tcBorders>
              <w:top w:val="double" w:color="auto" w:sz="4" w:space="0"/>
              <w:tl2br w:val="nil"/>
              <w:tr2bl w:val="nil"/>
            </w:tcBorders>
            <w:shd w:val="clear" w:color="auto" w:fill="D8D8D8" w:themeFill="background1" w:themeFillShade="D9"/>
            <w:vAlign w:val="center"/>
          </w:tcPr>
          <w:p>
            <w:pPr>
              <w:jc w:val="center"/>
              <w:rPr>
                <w:rFonts w:ascii="黑体" w:hAnsi="黑体" w:eastAsia="黑体" w:cs="仿宋"/>
                <w:sz w:val="22"/>
              </w:rPr>
            </w:pPr>
            <w:r>
              <w:rPr>
                <w:rFonts w:hint="eastAsia" w:ascii="黑体" w:hAnsi="黑体" w:eastAsia="黑体" w:cs="仿宋"/>
                <w:sz w:val="22"/>
              </w:rPr>
              <w:t>分支机构</w:t>
            </w:r>
            <w:r>
              <w:rPr>
                <w:rFonts w:hint="eastAsia" w:ascii="黑体" w:hAnsi="黑体" w:eastAsia="黑体" w:cs="仿宋"/>
                <w:sz w:val="22"/>
                <w:lang w:eastAsia="zh-CN"/>
              </w:rPr>
              <w:t>加入</w:t>
            </w:r>
            <w:r>
              <w:rPr>
                <w:rFonts w:hint="eastAsia" w:ascii="黑体" w:hAnsi="黑体" w:eastAsia="黑体" w:cs="仿宋"/>
                <w:sz w:val="22"/>
              </w:rPr>
              <w:t>申请（数量可自行增减）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序号</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分支机构全称</w:t>
            </w:r>
          </w:p>
        </w:tc>
        <w:tc>
          <w:tcPr>
            <w:tcW w:w="2417" w:type="dxa"/>
            <w:gridSpan w:val="5"/>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统一社会信用代码</w:t>
            </w:r>
          </w:p>
        </w:tc>
        <w:tc>
          <w:tcPr>
            <w:tcW w:w="1419" w:type="dxa"/>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大额行号</w:t>
            </w:r>
          </w:p>
        </w:tc>
        <w:tc>
          <w:tcPr>
            <w:tcW w:w="1702" w:type="dxa"/>
            <w:gridSpan w:val="2"/>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地址</w:t>
            </w:r>
          </w:p>
        </w:tc>
        <w:tc>
          <w:tcPr>
            <w:tcW w:w="1415" w:type="dxa"/>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1</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2</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3</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01" w:type="dxa"/>
            <w:gridSpan w:val="12"/>
            <w:tcBorders>
              <w:tl2br w:val="nil"/>
              <w:tr2bl w:val="nil"/>
            </w:tcBorders>
            <w:vAlign w:val="center"/>
          </w:tcPr>
          <w:p>
            <w:pPr>
              <w:jc w:val="center"/>
              <w:rPr>
                <w:rFonts w:ascii="黑体" w:hAnsi="黑体" w:eastAsia="黑体" w:cs="仿宋"/>
                <w:sz w:val="22"/>
              </w:rPr>
            </w:pPr>
            <w:r>
              <w:rPr>
                <w:rFonts w:hint="eastAsia" w:ascii="黑体" w:hAnsi="黑体" w:eastAsia="黑体" w:cs="仿宋"/>
                <w:sz w:val="22"/>
              </w:rPr>
              <w:t>承诺事项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0201" w:type="dxa"/>
            <w:gridSpan w:val="12"/>
            <w:tcBorders>
              <w:tl2br w:val="nil"/>
              <w:tr2bl w:val="nil"/>
            </w:tcBorders>
            <w:vAlign w:val="center"/>
          </w:tcPr>
          <w:p>
            <w:pPr>
              <w:spacing w:before="120" w:beforeLines="50" w:line="360" w:lineRule="auto"/>
              <w:ind w:firstLine="440" w:firstLineChars="200"/>
              <w:jc w:val="left"/>
              <w:rPr>
                <w:rFonts w:ascii="仿宋" w:hAnsi="仿宋" w:eastAsia="仿宋" w:cs="仿宋"/>
                <w:color w:val="000000"/>
                <w:sz w:val="22"/>
              </w:rPr>
            </w:pPr>
            <w:r>
              <w:rPr>
                <w:rFonts w:hint="eastAsia" w:ascii="仿宋" w:hAnsi="仿宋" w:eastAsia="仿宋" w:cs="仿宋"/>
                <w:color w:val="000000"/>
                <w:kern w:val="0"/>
                <w:sz w:val="22"/>
                <w:lang w:bidi="ar"/>
              </w:rPr>
              <w:t>我单位承诺上述分支机构均依法合规设立，具备开展相关业务的资质和授权，其在票据业务系统内相关业务权限由我单位自行管理，并承担由此产生的所有法律责任及后果。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201" w:type="dxa"/>
            <w:gridSpan w:val="12"/>
            <w:tcBorders>
              <w:top w:val="double" w:color="auto" w:sz="4" w:space="0"/>
              <w:tl2br w:val="nil"/>
              <w:tr2bl w:val="nil"/>
            </w:tcBorders>
            <w:shd w:val="clear" w:color="auto" w:fill="D8D8D8" w:themeFill="background1" w:themeFillShade="D9"/>
            <w:vAlign w:val="center"/>
          </w:tcPr>
          <w:p>
            <w:pPr>
              <w:jc w:val="center"/>
              <w:rPr>
                <w:rFonts w:ascii="黑体" w:hAnsi="黑体" w:eastAsia="黑体" w:cs="仿宋"/>
                <w:sz w:val="22"/>
              </w:rPr>
            </w:pPr>
            <w:r>
              <w:rPr>
                <w:rFonts w:hint="eastAsia" w:ascii="黑体" w:hAnsi="黑体" w:eastAsia="黑体" w:cs="仿宋"/>
                <w:sz w:val="22"/>
              </w:rPr>
              <w:t>非法人产品</w:t>
            </w:r>
            <w:r>
              <w:rPr>
                <w:rFonts w:hint="eastAsia" w:ascii="黑体" w:hAnsi="黑体" w:eastAsia="黑体" w:cs="仿宋"/>
                <w:sz w:val="22"/>
                <w:lang w:eastAsia="zh-CN"/>
              </w:rPr>
              <w:t>加入</w:t>
            </w:r>
            <w:r>
              <w:rPr>
                <w:rFonts w:hint="eastAsia" w:ascii="黑体" w:hAnsi="黑体" w:eastAsia="黑体" w:cs="仿宋"/>
                <w:sz w:val="22"/>
              </w:rPr>
              <w:t>申请（数量可自行增减）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序号</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非法人产品全称</w:t>
            </w:r>
          </w:p>
        </w:tc>
        <w:tc>
          <w:tcPr>
            <w:tcW w:w="2417" w:type="dxa"/>
            <w:gridSpan w:val="5"/>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托管行</w:t>
            </w:r>
          </w:p>
        </w:tc>
        <w:tc>
          <w:tcPr>
            <w:tcW w:w="1419" w:type="dxa"/>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托管行行号</w:t>
            </w:r>
          </w:p>
        </w:tc>
        <w:tc>
          <w:tcPr>
            <w:tcW w:w="1702" w:type="dxa"/>
            <w:gridSpan w:val="2"/>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托管户户名</w:t>
            </w:r>
          </w:p>
        </w:tc>
        <w:tc>
          <w:tcPr>
            <w:tcW w:w="1415" w:type="dxa"/>
            <w:tcBorders>
              <w:tl2br w:val="nil"/>
              <w:tr2bl w:val="nil"/>
            </w:tcBorders>
            <w:vAlign w:val="center"/>
          </w:tcPr>
          <w:p>
            <w:pPr>
              <w:jc w:val="center"/>
              <w:rPr>
                <w:rFonts w:ascii="仿宋" w:hAnsi="仿宋" w:eastAsia="仿宋" w:cs="仿宋"/>
                <w:color w:val="000000"/>
                <w:sz w:val="22"/>
              </w:rPr>
            </w:pPr>
            <w:r>
              <w:rPr>
                <w:rFonts w:hint="eastAsia" w:ascii="仿宋" w:hAnsi="仿宋" w:eastAsia="仿宋" w:cs="仿宋"/>
                <w:color w:val="000000"/>
                <w:sz w:val="22"/>
              </w:rPr>
              <w:t>托管户账号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1</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2</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1" w:type="dxa"/>
            <w:tcBorders>
              <w:tl2br w:val="nil"/>
              <w:tr2bl w:val="nil"/>
            </w:tcBorders>
            <w:vAlign w:val="center"/>
          </w:tcPr>
          <w:p>
            <w:pPr>
              <w:jc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3</w:t>
            </w:r>
          </w:p>
        </w:tc>
        <w:tc>
          <w:tcPr>
            <w:tcW w:w="2547" w:type="dxa"/>
            <w:gridSpan w:val="2"/>
            <w:tcBorders>
              <w:tl2br w:val="nil"/>
              <w:tr2bl w:val="nil"/>
            </w:tcBorders>
            <w:vAlign w:val="center"/>
          </w:tcPr>
          <w:p>
            <w:pPr>
              <w:jc w:val="center"/>
              <w:rPr>
                <w:rFonts w:ascii="仿宋" w:hAnsi="仿宋" w:eastAsia="仿宋" w:cs="仿宋"/>
                <w:color w:val="000000"/>
                <w:kern w:val="0"/>
                <w:sz w:val="22"/>
                <w:lang w:bidi="ar"/>
              </w:rPr>
            </w:pPr>
          </w:p>
        </w:tc>
        <w:tc>
          <w:tcPr>
            <w:tcW w:w="2417" w:type="dxa"/>
            <w:gridSpan w:val="5"/>
            <w:tcBorders>
              <w:tl2br w:val="nil"/>
              <w:tr2bl w:val="nil"/>
            </w:tcBorders>
            <w:vAlign w:val="center"/>
          </w:tcPr>
          <w:p>
            <w:pPr>
              <w:jc w:val="center"/>
              <w:rPr>
                <w:rFonts w:ascii="仿宋" w:hAnsi="仿宋" w:eastAsia="仿宋" w:cs="仿宋"/>
                <w:color w:val="000000"/>
                <w:sz w:val="22"/>
              </w:rPr>
            </w:pPr>
          </w:p>
        </w:tc>
        <w:tc>
          <w:tcPr>
            <w:tcW w:w="1419" w:type="dxa"/>
            <w:tcBorders>
              <w:tl2br w:val="nil"/>
              <w:tr2bl w:val="nil"/>
            </w:tcBorders>
            <w:vAlign w:val="center"/>
          </w:tcPr>
          <w:p>
            <w:pPr>
              <w:jc w:val="center"/>
              <w:rPr>
                <w:rFonts w:ascii="仿宋" w:hAnsi="仿宋" w:eastAsia="仿宋" w:cs="仿宋"/>
                <w:color w:val="000000"/>
                <w:sz w:val="22"/>
              </w:rPr>
            </w:pPr>
          </w:p>
        </w:tc>
        <w:tc>
          <w:tcPr>
            <w:tcW w:w="1702" w:type="dxa"/>
            <w:gridSpan w:val="2"/>
            <w:tcBorders>
              <w:tl2br w:val="nil"/>
              <w:tr2bl w:val="nil"/>
            </w:tcBorders>
            <w:vAlign w:val="center"/>
          </w:tcPr>
          <w:p>
            <w:pPr>
              <w:jc w:val="center"/>
              <w:rPr>
                <w:rFonts w:ascii="仿宋" w:hAnsi="仿宋" w:eastAsia="仿宋" w:cs="仿宋"/>
                <w:color w:val="000000"/>
                <w:sz w:val="22"/>
              </w:rPr>
            </w:pPr>
          </w:p>
        </w:tc>
        <w:tc>
          <w:tcPr>
            <w:tcW w:w="1415" w:type="dxa"/>
            <w:tcBorders>
              <w:tl2br w:val="nil"/>
              <w:tr2bl w:val="nil"/>
            </w:tcBorders>
            <w:vAlign w:val="center"/>
          </w:tcPr>
          <w:p>
            <w:pPr>
              <w:jc w:val="center"/>
              <w:rPr>
                <w:rFonts w:ascii="仿宋" w:hAnsi="仿宋" w:eastAsia="仿宋" w:cs="仿宋"/>
                <w:color w:val="000000"/>
                <w:sz w:val="22"/>
              </w:rPr>
            </w:pPr>
          </w:p>
        </w:tc>
      </w:tr>
    </w:tbl>
    <w:p>
      <w:pPr>
        <w:spacing w:line="360" w:lineRule="auto"/>
        <w:rPr>
          <w:rFonts w:ascii="宋体" w:hAnsi="宋体" w:eastAsia="宋体" w:cs="仿宋"/>
          <w:color w:val="000000"/>
          <w:sz w:val="16"/>
          <w:szCs w:val="20"/>
        </w:rPr>
      </w:pPr>
      <w:r>
        <w:rPr>
          <w:rFonts w:hint="eastAsia" w:ascii="宋体" w:hAnsi="宋体" w:eastAsia="宋体" w:cs="仿宋"/>
          <w:color w:val="000000"/>
          <w:sz w:val="16"/>
          <w:szCs w:val="20"/>
        </w:rPr>
        <w:t>填表说明：</w:t>
      </w:r>
    </w:p>
    <w:p>
      <w:pPr>
        <w:spacing w:line="360" w:lineRule="auto"/>
        <w:rPr>
          <w:rFonts w:ascii="宋体" w:hAnsi="宋体" w:eastAsia="宋体" w:cs="仿宋"/>
          <w:color w:val="000000"/>
          <w:sz w:val="16"/>
          <w:szCs w:val="20"/>
        </w:rPr>
      </w:pPr>
      <w:r>
        <w:rPr>
          <w:rFonts w:ascii="宋体" w:hAnsi="宋体" w:eastAsia="宋体"/>
          <w:sz w:val="16"/>
          <w:szCs w:val="20"/>
        </w:rPr>
        <w:t>1.</w:t>
      </w:r>
      <w:r>
        <w:rPr>
          <w:rFonts w:hint="eastAsia" w:ascii="宋体" w:hAnsi="宋体" w:eastAsia="宋体" w:cs="仿宋"/>
          <w:color w:val="000000"/>
          <w:sz w:val="16"/>
          <w:szCs w:val="20"/>
        </w:rPr>
        <w:t>申请机构应先勾选申请事项，随后填报相应栏目。不予填写的空格采用打叉、划折线、填写“以下空白”之一处理。本表请双面机打，手写无效。</w:t>
      </w:r>
    </w:p>
    <w:p>
      <w:pPr>
        <w:spacing w:line="360" w:lineRule="auto"/>
        <w:rPr>
          <w:rFonts w:ascii="宋体" w:hAnsi="宋体" w:eastAsia="宋体" w:cs="仿宋"/>
          <w:color w:val="000000"/>
          <w:sz w:val="16"/>
          <w:szCs w:val="20"/>
        </w:rPr>
      </w:pPr>
      <w:bookmarkStart w:id="2758" w:name="_Toc14231"/>
      <w:bookmarkStart w:id="2759" w:name="_Toc1785"/>
      <w:r>
        <w:rPr>
          <w:rFonts w:ascii="宋体" w:hAnsi="宋体" w:eastAsia="宋体" w:cs="仿宋"/>
          <w:color w:val="000000"/>
          <w:sz w:val="16"/>
          <w:szCs w:val="20"/>
        </w:rPr>
        <w:t>2.</w:t>
      </w:r>
      <w:r>
        <w:rPr>
          <w:rFonts w:hint="eastAsia" w:ascii="宋体" w:hAnsi="宋体" w:eastAsia="宋体" w:cs="仿宋"/>
          <w:color w:val="000000"/>
          <w:sz w:val="16"/>
          <w:szCs w:val="20"/>
        </w:rPr>
        <w:t>申请机构应在“机构代表”处填写法人机构高级管理人员，在“业务联络员”处填写业务人员，共同负责与票交所沟通联系、办理业务资格申请、报送票交所要求的文件、接收票交所发送的通知并协调落实等事宜。</w:t>
      </w:r>
    </w:p>
    <w:p>
      <w:pPr>
        <w:widowControl/>
        <w:spacing w:line="360" w:lineRule="auto"/>
        <w:textAlignment w:val="top"/>
        <w:rPr>
          <w:rFonts w:ascii="宋体" w:hAnsi="宋体" w:eastAsia="宋体" w:cs="仿宋"/>
          <w:color w:val="000000"/>
          <w:kern w:val="0"/>
          <w:sz w:val="16"/>
          <w:szCs w:val="20"/>
          <w:lang w:bidi="ar"/>
        </w:rPr>
      </w:pPr>
      <w:r>
        <w:rPr>
          <w:rFonts w:ascii="宋体" w:hAnsi="宋体" w:eastAsia="宋体" w:cs="仿宋"/>
          <w:color w:val="000000"/>
          <w:kern w:val="0"/>
          <w:sz w:val="16"/>
          <w:szCs w:val="20"/>
          <w:lang w:bidi="ar"/>
        </w:rPr>
        <w:t>3</w:t>
      </w:r>
      <w:r>
        <w:rPr>
          <w:rFonts w:hint="eastAsia" w:ascii="宋体" w:hAnsi="宋体" w:eastAsia="宋体" w:cs="仿宋"/>
          <w:color w:val="000000"/>
          <w:kern w:val="0"/>
          <w:sz w:val="16"/>
          <w:szCs w:val="20"/>
          <w:lang w:bidi="ar"/>
        </w:rPr>
        <w:t>.申请机构在“票据业务”和“参与者服务”勾选拟开展业务事项，满足票交所相关业务资格要求，经票交所</w:t>
      </w:r>
      <w:r>
        <w:rPr>
          <w:rFonts w:hint="eastAsia" w:ascii="宋体" w:hAnsi="宋体" w:eastAsia="宋体" w:cs="仿宋"/>
          <w:color w:val="000000"/>
          <w:kern w:val="0"/>
          <w:sz w:val="16"/>
          <w:szCs w:val="20"/>
          <w:lang w:eastAsia="zh-CN" w:bidi="ar"/>
        </w:rPr>
        <w:t>同意</w:t>
      </w:r>
      <w:r>
        <w:rPr>
          <w:rFonts w:hint="eastAsia" w:ascii="宋体" w:hAnsi="宋体" w:eastAsia="宋体" w:cs="仿宋"/>
          <w:color w:val="000000"/>
          <w:kern w:val="0"/>
          <w:sz w:val="16"/>
          <w:szCs w:val="20"/>
          <w:lang w:bidi="ar"/>
        </w:rPr>
        <w:t>业务</w:t>
      </w:r>
      <w:r>
        <w:rPr>
          <w:rFonts w:hint="eastAsia" w:ascii="宋体" w:hAnsi="宋体" w:eastAsia="宋体" w:cs="仿宋"/>
          <w:color w:val="000000"/>
          <w:kern w:val="0"/>
          <w:sz w:val="16"/>
          <w:szCs w:val="20"/>
          <w:lang w:eastAsia="zh-CN" w:bidi="ar"/>
        </w:rPr>
        <w:t>申请</w:t>
      </w:r>
      <w:r>
        <w:rPr>
          <w:rFonts w:hint="eastAsia" w:ascii="宋体" w:hAnsi="宋体" w:eastAsia="宋体" w:cs="仿宋"/>
          <w:color w:val="000000"/>
          <w:kern w:val="0"/>
          <w:sz w:val="16"/>
          <w:szCs w:val="20"/>
          <w:lang w:bidi="ar"/>
        </w:rPr>
        <w:t>后，方可开展相关业务。</w:t>
      </w:r>
    </w:p>
    <w:p>
      <w:pPr>
        <w:widowControl/>
        <w:spacing w:line="360" w:lineRule="auto"/>
        <w:textAlignment w:val="top"/>
        <w:rPr>
          <w:rFonts w:ascii="宋体" w:hAnsi="宋体" w:eastAsia="宋体" w:cs="仿宋"/>
          <w:color w:val="000000"/>
          <w:kern w:val="0"/>
          <w:sz w:val="16"/>
          <w:szCs w:val="20"/>
          <w:lang w:bidi="ar"/>
        </w:rPr>
      </w:pPr>
      <w:r>
        <w:rPr>
          <w:rFonts w:ascii="宋体" w:hAnsi="宋体" w:eastAsia="宋体" w:cs="仿宋"/>
          <w:color w:val="000000"/>
          <w:kern w:val="0"/>
          <w:sz w:val="16"/>
          <w:szCs w:val="20"/>
          <w:lang w:bidi="ar"/>
        </w:rPr>
        <w:t>4.</w:t>
      </w:r>
      <w:r>
        <w:rPr>
          <w:rFonts w:hint="eastAsia" w:ascii="宋体" w:hAnsi="宋体" w:eastAsia="宋体" w:cs="仿宋"/>
          <w:color w:val="000000"/>
          <w:kern w:val="0"/>
          <w:sz w:val="16"/>
          <w:szCs w:val="20"/>
          <w:lang w:bidi="ar"/>
        </w:rPr>
        <w:t>在“票据业务”栏勾选业务事项的法人机构（产品管理人除外），需填报“资金账户”栏（二选一），用于办理票据资金清算结算业务，其余申请机构不填。分支机构统一通过其总部的资金账户办理票据资金清算结算业务。</w:t>
      </w:r>
    </w:p>
    <w:p>
      <w:pPr>
        <w:spacing w:line="360" w:lineRule="auto"/>
        <w:rPr>
          <w:rFonts w:hint="eastAsia" w:ascii="宋体" w:hAnsi="宋体" w:eastAsia="宋体" w:cs="仿宋"/>
          <w:color w:val="000000"/>
          <w:kern w:val="0"/>
          <w:sz w:val="16"/>
          <w:szCs w:val="20"/>
          <w:lang w:eastAsia="zh-CN" w:bidi="ar"/>
        </w:rPr>
        <w:sectPr>
          <w:pgSz w:w="11910" w:h="16840"/>
          <w:pgMar w:top="1440" w:right="850" w:bottom="1440" w:left="850" w:header="283" w:footer="283" w:gutter="0"/>
          <w:pgBorders>
            <w:top w:val="none" w:sz="0" w:space="0"/>
            <w:left w:val="none" w:sz="0" w:space="0"/>
            <w:bottom w:val="none" w:sz="0" w:space="0"/>
            <w:right w:val="none" w:sz="0" w:space="0"/>
          </w:pgBorders>
          <w:pgNumType w:fmt="decimal"/>
          <w:cols w:space="0" w:num="1"/>
          <w:docGrid w:linePitch="286" w:charSpace="0"/>
        </w:sectPr>
      </w:pPr>
      <w:r>
        <w:rPr>
          <w:rFonts w:ascii="宋体" w:hAnsi="宋体" w:eastAsia="宋体" w:cs="仿宋"/>
          <w:color w:val="000000"/>
          <w:kern w:val="0"/>
          <w:sz w:val="16"/>
          <w:szCs w:val="20"/>
          <w:lang w:bidi="ar"/>
        </w:rPr>
        <w:t>5.</w:t>
      </w:r>
      <w:r>
        <w:rPr>
          <w:rFonts w:hint="eastAsia" w:ascii="宋体" w:hAnsi="宋体" w:eastAsia="宋体" w:cs="仿宋"/>
          <w:color w:val="000000"/>
          <w:sz w:val="16"/>
          <w:szCs w:val="20"/>
        </w:rPr>
        <w:t>非法人产品需单独开立会员资金账户，并以外部托管户作为其出金账</w:t>
      </w:r>
      <w:r>
        <w:rPr>
          <w:rFonts w:hint="eastAsia" w:ascii="宋体" w:hAnsi="宋体" w:eastAsia="宋体" w:cs="仿宋"/>
          <w:color w:val="000000"/>
          <w:sz w:val="16"/>
          <w:szCs w:val="20"/>
          <w:lang w:eastAsia="zh-CN"/>
        </w:rPr>
        <w:t>户。</w:t>
      </w:r>
    </w:p>
    <w:p>
      <w:pPr>
        <w:pStyle w:val="3"/>
        <w:adjustRightInd w:val="0"/>
        <w:snapToGrid w:val="0"/>
        <w:spacing w:before="0" w:after="0" w:line="240" w:lineRule="auto"/>
        <w:textAlignment w:val="baseline"/>
        <w:rPr>
          <w:rFonts w:ascii="仿宋" w:hAnsi="仿宋" w:eastAsia="仿宋" w:cs="仿宋"/>
          <w:b w:val="0"/>
          <w:bCs w:val="0"/>
          <w:color w:val="000000"/>
        </w:rPr>
      </w:pPr>
      <w:bookmarkStart w:id="2760" w:name="_Toc23181"/>
      <w:bookmarkStart w:id="2761" w:name="_Toc28899"/>
      <w:bookmarkStart w:id="2762" w:name="_Toc21081"/>
      <w:bookmarkStart w:id="2763" w:name="_Toc32456"/>
      <w:bookmarkStart w:id="2764" w:name="_Toc14258"/>
      <w:bookmarkStart w:id="2765" w:name="_Toc1962128250"/>
      <w:bookmarkStart w:id="2766" w:name="_Toc31011"/>
      <w:bookmarkStart w:id="2767" w:name="_Toc25548"/>
      <w:r>
        <w:rPr>
          <w:rFonts w:hint="eastAsia" w:ascii="仿宋" w:hAnsi="仿宋" w:eastAsia="仿宋" w:cs="仿宋"/>
          <w:b w:val="0"/>
          <w:bCs w:val="0"/>
          <w:color w:val="000000"/>
        </w:rPr>
        <w:t>附件4：</w:t>
      </w:r>
      <w:bookmarkEnd w:id="2758"/>
      <w:bookmarkEnd w:id="2759"/>
      <w:bookmarkEnd w:id="2760"/>
      <w:bookmarkEnd w:id="2761"/>
      <w:bookmarkEnd w:id="2762"/>
      <w:bookmarkEnd w:id="2763"/>
      <w:bookmarkEnd w:id="2764"/>
      <w:bookmarkEnd w:id="2765"/>
      <w:bookmarkEnd w:id="2766"/>
      <w:bookmarkEnd w:id="2767"/>
    </w:p>
    <w:p>
      <w:pPr>
        <w:pStyle w:val="3"/>
        <w:spacing w:before="0" w:after="0" w:line="240" w:lineRule="auto"/>
        <w:jc w:val="center"/>
        <w:rPr>
          <w:rFonts w:ascii="黑体" w:hAnsi="黑体" w:eastAsia="黑体" w:cs="Times New Roman"/>
          <w:b w:val="0"/>
          <w:bCs w:val="0"/>
          <w:sz w:val="36"/>
        </w:rPr>
      </w:pPr>
      <w:bookmarkStart w:id="2768" w:name="_Toc8131"/>
      <w:bookmarkStart w:id="2769" w:name="_Toc22100"/>
      <w:bookmarkStart w:id="2770" w:name="_Toc6654"/>
      <w:bookmarkStart w:id="2771" w:name="_Toc3777"/>
      <w:bookmarkStart w:id="2772" w:name="_Toc1454216900"/>
      <w:bookmarkStart w:id="2773" w:name="_Toc16887"/>
      <w:bookmarkStart w:id="2774" w:name="_Toc29595"/>
      <w:bookmarkStart w:id="2775" w:name="_Toc9585"/>
      <w:bookmarkStart w:id="2776" w:name="_Toc19087"/>
      <w:bookmarkStart w:id="2777" w:name="_Toc13236"/>
      <w:r>
        <w:rPr>
          <w:rFonts w:hint="eastAsia" w:ascii="黑体" w:hAnsi="黑体" w:eastAsia="黑体" w:cs="Times New Roman"/>
          <w:b w:val="0"/>
          <w:bCs w:val="0"/>
          <w:sz w:val="36"/>
        </w:rPr>
        <w:t>未使用基本存款账户情况说明</w:t>
      </w:r>
      <w:bookmarkEnd w:id="2731"/>
      <w:bookmarkEnd w:id="2732"/>
      <w:bookmarkEnd w:id="2733"/>
      <w:bookmarkEnd w:id="2734"/>
      <w:bookmarkEnd w:id="2735"/>
      <w:bookmarkEnd w:id="2736"/>
      <w:bookmarkEnd w:id="2737"/>
      <w:bookmarkEnd w:id="2738"/>
      <w:bookmarkEnd w:id="2768"/>
      <w:bookmarkEnd w:id="2769"/>
      <w:bookmarkEnd w:id="2770"/>
      <w:bookmarkEnd w:id="2771"/>
      <w:bookmarkEnd w:id="2772"/>
      <w:bookmarkEnd w:id="2773"/>
      <w:bookmarkEnd w:id="2774"/>
      <w:bookmarkEnd w:id="2775"/>
      <w:bookmarkEnd w:id="2776"/>
      <w:bookmarkEnd w:id="2777"/>
    </w:p>
    <w:p>
      <w:pPr>
        <w:pStyle w:val="7"/>
        <w:spacing w:before="245" w:line="357" w:lineRule="auto"/>
        <w:ind w:left="0"/>
        <w:jc w:val="left"/>
        <w:rPr>
          <w:rFonts w:hint="default"/>
        </w:rPr>
      </w:pPr>
    </w:p>
    <w:p>
      <w:pPr>
        <w:pStyle w:val="7"/>
        <w:spacing w:line="590" w:lineRule="exact"/>
        <w:ind w:left="0"/>
        <w:jc w:val="left"/>
        <w:rPr>
          <w:rFonts w:hint="default" w:ascii="仿宋" w:hAnsi="仿宋" w:eastAsia="仿宋" w:cs="仿宋"/>
          <w:w w:val="99"/>
          <w:sz w:val="32"/>
          <w:szCs w:val="32"/>
        </w:rPr>
      </w:pPr>
      <w:r>
        <w:rPr>
          <w:rFonts w:ascii="仿宋" w:hAnsi="仿宋" w:eastAsia="仿宋" w:cs="仿宋"/>
          <w:sz w:val="32"/>
          <w:szCs w:val="32"/>
        </w:rPr>
        <w:t>上海票据交易所：</w:t>
      </w:r>
      <w:r>
        <w:rPr>
          <w:rFonts w:ascii="仿宋" w:hAnsi="仿宋" w:eastAsia="仿宋" w:cs="仿宋"/>
          <w:w w:val="99"/>
          <w:sz w:val="32"/>
          <w:szCs w:val="32"/>
        </w:rPr>
        <w:t xml:space="preserve"> </w:t>
      </w:r>
    </w:p>
    <w:p>
      <w:pPr>
        <w:pStyle w:val="7"/>
        <w:spacing w:line="590" w:lineRule="exact"/>
        <w:ind w:left="0" w:firstLine="608" w:firstLineChars="200"/>
        <w:rPr>
          <w:rFonts w:hint="default" w:ascii="仿宋" w:hAnsi="仿宋" w:eastAsia="仿宋" w:cs="仿宋"/>
          <w:sz w:val="32"/>
          <w:szCs w:val="32"/>
        </w:rPr>
      </w:pPr>
      <w:r>
        <w:rPr>
          <w:rFonts w:ascii="仿宋" w:hAnsi="仿宋" w:eastAsia="仿宋" w:cs="仿宋"/>
          <w:spacing w:val="-8"/>
          <w:sz w:val="32"/>
          <w:szCs w:val="32"/>
        </w:rPr>
        <w:t>我单位***，基本存款账号为***，开户行为***，因</w:t>
      </w:r>
      <w:r>
        <w:rPr>
          <w:rFonts w:ascii="仿宋" w:hAnsi="仿宋" w:eastAsia="仿宋" w:cs="仿宋"/>
          <w:spacing w:val="-6"/>
          <w:w w:val="95"/>
          <w:sz w:val="32"/>
          <w:szCs w:val="32"/>
        </w:rPr>
        <w:t>***原因，无法使用基本存款账户作为出金账户。我单位申请</w:t>
      </w:r>
      <w:r>
        <w:rPr>
          <w:rFonts w:ascii="仿宋" w:hAnsi="仿宋" w:eastAsia="仿宋" w:cs="仿宋"/>
          <w:w w:val="95"/>
          <w:sz w:val="32"/>
          <w:szCs w:val="32"/>
        </w:rPr>
        <w:t>使用在***（开户行名）开立的一般存款账户/专用存款账户</w:t>
      </w:r>
      <w:r>
        <w:rPr>
          <w:rFonts w:ascii="仿宋" w:hAnsi="仿宋" w:eastAsia="仿宋" w:cs="仿宋"/>
          <w:sz w:val="32"/>
          <w:szCs w:val="32"/>
        </w:rPr>
        <w:t>作为出金账户，账户具体信息如下：</w:t>
      </w:r>
    </w:p>
    <w:p>
      <w:pPr>
        <w:pStyle w:val="7"/>
        <w:spacing w:line="590" w:lineRule="exact"/>
        <w:ind w:left="0" w:firstLine="640" w:firstLineChars="200"/>
        <w:rPr>
          <w:rFonts w:hint="default" w:ascii="仿宋" w:hAnsi="仿宋" w:eastAsia="仿宋" w:cs="仿宋"/>
          <w:w w:val="99"/>
          <w:sz w:val="32"/>
          <w:szCs w:val="32"/>
        </w:rPr>
      </w:pPr>
      <w:r>
        <w:rPr>
          <w:rFonts w:ascii="仿宋" w:hAnsi="仿宋" w:eastAsia="仿宋" w:cs="仿宋"/>
          <w:sz w:val="32"/>
          <w:szCs w:val="32"/>
        </w:rPr>
        <w:t>账户名称：</w:t>
      </w:r>
      <w:r>
        <w:rPr>
          <w:rFonts w:ascii="仿宋" w:hAnsi="仿宋" w:eastAsia="仿宋" w:cs="仿宋"/>
          <w:w w:val="99"/>
          <w:sz w:val="32"/>
          <w:szCs w:val="32"/>
        </w:rPr>
        <w:t xml:space="preserve"> </w:t>
      </w:r>
    </w:p>
    <w:p>
      <w:pPr>
        <w:pStyle w:val="7"/>
        <w:spacing w:line="590" w:lineRule="exact"/>
        <w:ind w:left="0" w:firstLine="640" w:firstLineChars="200"/>
        <w:rPr>
          <w:rFonts w:hint="default" w:ascii="仿宋" w:hAnsi="仿宋" w:eastAsia="仿宋" w:cs="仿宋"/>
          <w:w w:val="99"/>
          <w:sz w:val="32"/>
          <w:szCs w:val="32"/>
        </w:rPr>
      </w:pPr>
      <w:r>
        <w:rPr>
          <w:rFonts w:ascii="仿宋" w:hAnsi="仿宋" w:eastAsia="仿宋" w:cs="仿宋"/>
          <w:sz w:val="32"/>
          <w:szCs w:val="32"/>
        </w:rPr>
        <w:t>账户账号：</w:t>
      </w:r>
      <w:r>
        <w:rPr>
          <w:rFonts w:ascii="仿宋" w:hAnsi="仿宋" w:eastAsia="仿宋" w:cs="仿宋"/>
          <w:w w:val="99"/>
          <w:sz w:val="32"/>
          <w:szCs w:val="32"/>
        </w:rPr>
        <w:t xml:space="preserve"> </w:t>
      </w:r>
    </w:p>
    <w:p>
      <w:pPr>
        <w:pStyle w:val="7"/>
        <w:spacing w:line="590" w:lineRule="exact"/>
        <w:ind w:left="0" w:firstLine="640" w:firstLineChars="200"/>
        <w:rPr>
          <w:rFonts w:hint="default" w:ascii="仿宋" w:hAnsi="仿宋" w:eastAsia="仿宋" w:cs="仿宋"/>
          <w:w w:val="99"/>
          <w:sz w:val="32"/>
          <w:szCs w:val="32"/>
        </w:rPr>
      </w:pPr>
      <w:r>
        <w:rPr>
          <w:rFonts w:ascii="仿宋" w:hAnsi="仿宋" w:eastAsia="仿宋" w:cs="仿宋"/>
          <w:sz w:val="32"/>
          <w:szCs w:val="32"/>
        </w:rPr>
        <w:t>开户行大额行号：</w:t>
      </w:r>
      <w:r>
        <w:rPr>
          <w:rFonts w:ascii="仿宋" w:hAnsi="仿宋" w:eastAsia="仿宋" w:cs="仿宋"/>
          <w:w w:val="99"/>
          <w:sz w:val="32"/>
          <w:szCs w:val="32"/>
        </w:rPr>
        <w:t xml:space="preserve"> </w:t>
      </w:r>
    </w:p>
    <w:p>
      <w:pPr>
        <w:pStyle w:val="7"/>
        <w:spacing w:line="590" w:lineRule="exact"/>
        <w:ind w:left="0" w:firstLine="640" w:firstLineChars="200"/>
        <w:rPr>
          <w:rFonts w:hint="default" w:ascii="仿宋" w:hAnsi="仿宋" w:eastAsia="仿宋" w:cs="仿宋"/>
          <w:sz w:val="32"/>
          <w:szCs w:val="32"/>
        </w:rPr>
      </w:pPr>
      <w:r>
        <w:rPr>
          <w:rFonts w:ascii="仿宋" w:hAnsi="仿宋" w:eastAsia="仿宋" w:cs="仿宋"/>
          <w:sz w:val="32"/>
          <w:szCs w:val="32"/>
        </w:rPr>
        <w:t>开户行大额行名：</w:t>
      </w:r>
    </w:p>
    <w:p>
      <w:pPr>
        <w:pStyle w:val="7"/>
        <w:spacing w:line="590" w:lineRule="exact"/>
        <w:ind w:left="0" w:firstLine="608" w:firstLineChars="200"/>
        <w:rPr>
          <w:rFonts w:hint="default" w:ascii="仿宋" w:hAnsi="仿宋" w:eastAsia="仿宋" w:cs="仿宋"/>
          <w:sz w:val="32"/>
          <w:szCs w:val="32"/>
        </w:rPr>
      </w:pPr>
      <w:r>
        <w:rPr>
          <w:rFonts w:ascii="仿宋" w:hAnsi="仿宋" w:eastAsia="仿宋" w:cs="仿宋"/>
          <w:w w:val="95"/>
          <w:sz w:val="32"/>
          <w:szCs w:val="32"/>
        </w:rPr>
        <w:t>我单位知悉出金账户管理要求，因未按要求使用该账户</w:t>
      </w:r>
      <w:r>
        <w:rPr>
          <w:rFonts w:ascii="仿宋" w:hAnsi="仿宋" w:eastAsia="仿宋" w:cs="仿宋"/>
          <w:sz w:val="32"/>
          <w:szCs w:val="32"/>
        </w:rPr>
        <w:t>引起的法律风险由我单位自行承担。</w:t>
      </w:r>
    </w:p>
    <w:p>
      <w:pPr>
        <w:spacing w:line="590" w:lineRule="exact"/>
        <w:ind w:firstLine="640" w:firstLineChars="200"/>
        <w:rPr>
          <w:rFonts w:ascii="仿宋" w:hAnsi="仿宋" w:eastAsia="仿宋" w:cs="仿宋"/>
          <w:sz w:val="32"/>
          <w:szCs w:val="32"/>
        </w:rPr>
      </w:pPr>
    </w:p>
    <w:p>
      <w:pPr>
        <w:pStyle w:val="7"/>
        <w:spacing w:line="590" w:lineRule="exact"/>
        <w:ind w:left="0" w:firstLine="608" w:firstLineChars="200"/>
        <w:jc w:val="center"/>
        <w:rPr>
          <w:rFonts w:hint="default" w:ascii="仿宋" w:hAnsi="仿宋" w:eastAsia="仿宋" w:cs="仿宋"/>
          <w:sz w:val="32"/>
          <w:szCs w:val="32"/>
        </w:rPr>
      </w:pPr>
      <w:r>
        <w:rPr>
          <w:rFonts w:ascii="仿宋" w:hAnsi="仿宋" w:eastAsia="仿宋" w:cs="仿宋"/>
          <w:w w:val="95"/>
          <w:sz w:val="32"/>
          <w:szCs w:val="32"/>
        </w:rPr>
        <w:t xml:space="preserve">                                   法人机构全称</w:t>
      </w:r>
    </w:p>
    <w:p>
      <w:pPr>
        <w:pStyle w:val="7"/>
        <w:tabs>
          <w:tab w:val="left" w:pos="6987"/>
          <w:tab w:val="left" w:pos="7629"/>
        </w:tabs>
        <w:spacing w:line="590" w:lineRule="exact"/>
        <w:ind w:left="0" w:firstLine="6400" w:firstLineChars="2000"/>
        <w:jc w:val="left"/>
        <w:rPr>
          <w:rFonts w:hint="default" w:ascii="仿宋" w:hAnsi="仿宋" w:eastAsia="仿宋" w:cs="仿宋"/>
          <w:w w:val="99"/>
          <w:sz w:val="32"/>
          <w:szCs w:val="32"/>
        </w:rPr>
      </w:pPr>
      <w:r>
        <w:rPr>
          <w:rFonts w:ascii="仿宋" w:hAnsi="仿宋" w:eastAsia="仿宋" w:cs="仿宋"/>
          <w:sz w:val="32"/>
          <w:szCs w:val="32"/>
        </w:rPr>
        <w:t>（加盖公章）</w:t>
      </w:r>
      <w:r>
        <w:rPr>
          <w:rFonts w:ascii="仿宋" w:hAnsi="仿宋" w:eastAsia="仿宋" w:cs="仿宋"/>
          <w:w w:val="99"/>
          <w:sz w:val="32"/>
          <w:szCs w:val="32"/>
        </w:rPr>
        <w:t xml:space="preserve"> </w:t>
      </w:r>
    </w:p>
    <w:p>
      <w:pPr>
        <w:pStyle w:val="7"/>
        <w:tabs>
          <w:tab w:val="left" w:pos="6987"/>
          <w:tab w:val="left" w:pos="7629"/>
        </w:tabs>
        <w:spacing w:line="590" w:lineRule="exact"/>
        <w:ind w:left="0" w:firstLine="6384" w:firstLineChars="2100"/>
        <w:jc w:val="left"/>
        <w:rPr>
          <w:rFonts w:hint="default" w:ascii="仿宋" w:hAnsi="仿宋" w:eastAsia="仿宋" w:cs="仿宋"/>
          <w:sz w:val="32"/>
          <w:szCs w:val="32"/>
        </w:rPr>
      </w:pPr>
      <w:r>
        <w:rPr>
          <w:rFonts w:ascii="仿宋" w:hAnsi="仿宋" w:eastAsia="仿宋" w:cs="仿宋"/>
          <w:w w:val="95"/>
          <w:sz w:val="32"/>
          <w:szCs w:val="32"/>
        </w:rPr>
        <w:t>年</w:t>
      </w:r>
      <w:r>
        <w:rPr>
          <w:rFonts w:ascii="仿宋" w:hAnsi="仿宋" w:eastAsia="仿宋" w:cs="仿宋"/>
          <w:w w:val="95"/>
          <w:sz w:val="32"/>
          <w:szCs w:val="32"/>
        </w:rPr>
        <w:tab/>
      </w:r>
      <w:r>
        <w:rPr>
          <w:rFonts w:ascii="仿宋" w:hAnsi="仿宋" w:eastAsia="仿宋" w:cs="仿宋"/>
          <w:w w:val="95"/>
          <w:sz w:val="32"/>
          <w:szCs w:val="32"/>
        </w:rPr>
        <w:t>月</w:t>
      </w:r>
      <w:r>
        <w:rPr>
          <w:rFonts w:ascii="仿宋" w:hAnsi="仿宋" w:eastAsia="仿宋" w:cs="仿宋"/>
          <w:w w:val="95"/>
          <w:sz w:val="32"/>
          <w:szCs w:val="32"/>
        </w:rPr>
        <w:tab/>
      </w:r>
      <w:r>
        <w:rPr>
          <w:rFonts w:ascii="仿宋" w:hAnsi="仿宋" w:eastAsia="仿宋" w:cs="仿宋"/>
          <w:sz w:val="32"/>
          <w:szCs w:val="32"/>
        </w:rPr>
        <w:t>日</w:t>
      </w:r>
    </w:p>
    <w:p>
      <w:pPr>
        <w:spacing w:line="357" w:lineRule="auto"/>
        <w:jc w:val="left"/>
        <w:rPr>
          <w:sz w:val="32"/>
          <w:szCs w:val="32"/>
        </w:rPr>
        <w:sectPr>
          <w:footerReference r:id="rId7" w:type="default"/>
          <w:pgSz w:w="11910" w:h="16840"/>
          <w:pgMar w:top="1440" w:right="1678" w:bottom="1440" w:left="1678" w:header="284" w:footer="1021" w:gutter="0"/>
          <w:pgBorders>
            <w:top w:val="none" w:sz="0" w:space="0"/>
            <w:left w:val="none" w:sz="0" w:space="0"/>
            <w:bottom w:val="none" w:sz="0" w:space="0"/>
            <w:right w:val="none" w:sz="0" w:space="0"/>
          </w:pgBorders>
          <w:pgNumType w:fmt="decimal"/>
          <w:cols w:space="720" w:num="1"/>
          <w:docGrid w:linePitch="286" w:charSpace="0"/>
        </w:sectPr>
      </w:pPr>
    </w:p>
    <w:p>
      <w:pPr>
        <w:pStyle w:val="3"/>
        <w:adjustRightInd w:val="0"/>
        <w:snapToGrid w:val="0"/>
        <w:spacing w:before="0" w:after="0" w:line="240" w:lineRule="auto"/>
        <w:textAlignment w:val="baseline"/>
        <w:rPr>
          <w:rFonts w:ascii="仿宋" w:hAnsi="仿宋" w:eastAsia="仿宋" w:cs="仿宋"/>
          <w:b w:val="0"/>
          <w:bCs w:val="0"/>
          <w:color w:val="000000"/>
        </w:rPr>
      </w:pPr>
      <w:bookmarkStart w:id="2778" w:name="_Toc22542"/>
      <w:bookmarkStart w:id="2779" w:name="_Toc14873"/>
      <w:bookmarkStart w:id="2780" w:name="_Toc21885"/>
      <w:bookmarkStart w:id="2781" w:name="_Toc635"/>
      <w:bookmarkStart w:id="2782" w:name="_Toc26904"/>
      <w:bookmarkStart w:id="2783" w:name="_Toc18701"/>
      <w:bookmarkStart w:id="2784" w:name="_Toc23774"/>
      <w:bookmarkStart w:id="2785" w:name="_Toc21545"/>
      <w:bookmarkStart w:id="2786" w:name="_Toc1566950455"/>
      <w:bookmarkStart w:id="2787" w:name="_Toc12114"/>
      <w:bookmarkStart w:id="2788" w:name="_Toc21839"/>
      <w:bookmarkStart w:id="2789" w:name="_Toc15639"/>
      <w:bookmarkStart w:id="2790" w:name="_Toc23651"/>
      <w:bookmarkStart w:id="2791" w:name="_Toc18439"/>
      <w:bookmarkStart w:id="2792" w:name="_Toc15490"/>
      <w:bookmarkStart w:id="2793" w:name="_Toc23621"/>
      <w:bookmarkStart w:id="2794" w:name="_Toc8057"/>
      <w:bookmarkStart w:id="2795" w:name="_Toc28748"/>
      <w:r>
        <w:rPr>
          <w:rFonts w:hint="eastAsia" w:ascii="仿宋" w:hAnsi="仿宋" w:eastAsia="仿宋" w:cs="仿宋"/>
          <w:b w:val="0"/>
          <w:bCs w:val="0"/>
          <w:color w:val="000000"/>
        </w:rPr>
        <w:t>附件5：</w:t>
      </w:r>
      <w:bookmarkEnd w:id="2778"/>
      <w:bookmarkEnd w:id="2779"/>
      <w:bookmarkEnd w:id="2780"/>
      <w:bookmarkEnd w:id="2781"/>
      <w:bookmarkEnd w:id="2782"/>
      <w:bookmarkEnd w:id="2783"/>
      <w:bookmarkEnd w:id="2784"/>
      <w:bookmarkEnd w:id="2785"/>
      <w:bookmarkEnd w:id="2786"/>
      <w:bookmarkEnd w:id="2787"/>
    </w:p>
    <w:p>
      <w:pPr>
        <w:pStyle w:val="3"/>
        <w:spacing w:before="0" w:after="0" w:line="240" w:lineRule="auto"/>
        <w:jc w:val="center"/>
        <w:rPr>
          <w:rFonts w:ascii="黑体" w:hAnsi="黑体" w:eastAsia="黑体" w:cs="Times New Roman"/>
          <w:b w:val="0"/>
          <w:bCs w:val="0"/>
          <w:sz w:val="36"/>
        </w:rPr>
      </w:pPr>
      <w:bookmarkStart w:id="2796" w:name="_Toc22304"/>
      <w:bookmarkStart w:id="2797" w:name="_Toc441843554"/>
      <w:bookmarkStart w:id="2798" w:name="_Toc24496"/>
      <w:bookmarkStart w:id="2799" w:name="_Toc10230"/>
      <w:bookmarkStart w:id="2800" w:name="_Toc5625"/>
      <w:bookmarkStart w:id="2801" w:name="_Toc22023"/>
      <w:bookmarkStart w:id="2802" w:name="_Toc31982"/>
      <w:bookmarkStart w:id="2803" w:name="_Toc5637"/>
      <w:bookmarkStart w:id="2804" w:name="_Toc31388"/>
      <w:bookmarkStart w:id="2805" w:name="_Toc4123"/>
      <w:r>
        <w:rPr>
          <w:rFonts w:hint="eastAsia" w:ascii="黑体" w:hAnsi="黑体" w:eastAsia="黑体" w:cs="Times New Roman"/>
          <w:b w:val="0"/>
          <w:bCs w:val="0"/>
          <w:sz w:val="36"/>
        </w:rPr>
        <w:t>法人机构主体变更申请</w:t>
      </w:r>
      <w:bookmarkEnd w:id="2788"/>
      <w:bookmarkEnd w:id="2789"/>
      <w:bookmarkEnd w:id="2790"/>
      <w:bookmarkEnd w:id="2791"/>
      <w:bookmarkEnd w:id="2792"/>
      <w:bookmarkEnd w:id="2793"/>
      <w:bookmarkEnd w:id="2794"/>
      <w:bookmarkEnd w:id="2795"/>
      <w:r>
        <w:rPr>
          <w:rFonts w:hint="eastAsia" w:ascii="黑体" w:hAnsi="黑体" w:eastAsia="黑体" w:cs="Times New Roman"/>
          <w:b w:val="0"/>
          <w:bCs w:val="0"/>
          <w:sz w:val="36"/>
        </w:rPr>
        <w:t>书</w:t>
      </w:r>
      <w:bookmarkEnd w:id="2796"/>
      <w:bookmarkEnd w:id="2797"/>
      <w:bookmarkEnd w:id="2798"/>
      <w:bookmarkEnd w:id="2799"/>
      <w:bookmarkEnd w:id="2800"/>
      <w:bookmarkEnd w:id="2801"/>
      <w:bookmarkEnd w:id="2802"/>
      <w:bookmarkEnd w:id="2803"/>
      <w:bookmarkEnd w:id="2804"/>
      <w:bookmarkEnd w:id="2805"/>
    </w:p>
    <w:p>
      <w:pPr>
        <w:rPr>
          <w:rFonts w:ascii="Times New Roman" w:hAnsi="Times New Roman" w:eastAsia="仿宋" w:cs="Times New Roman"/>
          <w:sz w:val="36"/>
          <w:szCs w:val="36"/>
        </w:rPr>
      </w:pPr>
    </w:p>
    <w:p>
      <w:pPr>
        <w:pStyle w:val="58"/>
        <w:ind w:firstLine="640"/>
        <w:jc w:val="left"/>
        <w:rPr>
          <w:rFonts w:ascii="黑体" w:hAnsi="黑体" w:eastAsia="黑体" w:cs="黑体"/>
          <w:sz w:val="32"/>
          <w:szCs w:val="32"/>
        </w:rPr>
      </w:pPr>
      <w:r>
        <w:rPr>
          <w:rFonts w:hint="eastAsia" w:ascii="黑体" w:hAnsi="黑体" w:eastAsia="黑体" w:cs="黑体"/>
          <w:sz w:val="32"/>
          <w:szCs w:val="32"/>
        </w:rPr>
        <w:t>一、基本情况：</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（一）变更前、后法人机构名称、行名行号、经营范围等情况；变更后机构联系人、联系电话及机构指定邮箱等。</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（二）机构在票据业务系统中的资金账户（使用本机构大额清算账户/使用所属支付系统直接参与者的人行清算账户/开立会员资金账户）</w:t>
      </w:r>
      <w:r>
        <w:rPr>
          <w:rFonts w:hint="eastAsia" w:ascii="仿宋" w:hAnsi="仿宋" w:eastAsia="仿宋" w:cs="仿宋"/>
          <w:sz w:val="32"/>
          <w:szCs w:val="32"/>
          <w:lang w:eastAsia="zh-CN"/>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（三）存量票据业务情况</w:t>
      </w:r>
      <w:r>
        <w:rPr>
          <w:rFonts w:hint="eastAsia" w:ascii="仿宋" w:hAnsi="仿宋" w:eastAsia="仿宋" w:cs="仿宋"/>
          <w:sz w:val="32"/>
          <w:szCs w:val="32"/>
          <w:lang w:eastAsia="zh-CN"/>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（四）系统及接入方式变化情况。</w:t>
      </w:r>
    </w:p>
    <w:p>
      <w:pPr>
        <w:pStyle w:val="58"/>
        <w:ind w:firstLine="640"/>
        <w:rPr>
          <w:rFonts w:ascii="黑体" w:hAnsi="黑体" w:eastAsia="黑体" w:cs="黑体"/>
          <w:sz w:val="32"/>
          <w:szCs w:val="32"/>
        </w:rPr>
      </w:pPr>
      <w:r>
        <w:rPr>
          <w:rFonts w:hint="eastAsia" w:ascii="黑体" w:hAnsi="黑体" w:eastAsia="黑体" w:cs="黑体"/>
          <w:sz w:val="32"/>
          <w:szCs w:val="32"/>
        </w:rPr>
        <w:t>二、申请事项：</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（一）申请在票据业务系统中变更如下信息：机构全称、机构简称、大额支付系统行号、统一社会信用代码、机构类型代码、法人机构管理员用户姓名等（应准确列明需申请变更信息）。</w:t>
      </w:r>
    </w:p>
    <w:p>
      <w:pPr>
        <w:ind w:firstLine="640" w:firstLineChars="200"/>
        <w:rPr>
          <w:rFonts w:ascii="仿宋" w:hAnsi="仿宋" w:eastAsia="仿宋" w:cs="仿宋"/>
          <w:sz w:val="32"/>
          <w:szCs w:val="32"/>
        </w:rPr>
      </w:pPr>
      <w:r>
        <w:rPr>
          <w:rFonts w:hint="eastAsia" w:ascii="仿宋" w:hAnsi="仿宋" w:eastAsia="仿宋" w:cs="仿宋"/>
          <w:sz w:val="32"/>
          <w:szCs w:val="32"/>
        </w:rPr>
        <w:t>（二）申请在行名行号管理系统中变更机构名称、地址、电话等信息（本条适用于发生行名变化的财务公司）。</w:t>
      </w:r>
    </w:p>
    <w:p>
      <w:pPr>
        <w:pStyle w:val="58"/>
        <w:ind w:firstLine="640"/>
        <w:jc w:val="left"/>
        <w:rPr>
          <w:rFonts w:ascii="黑体" w:hAnsi="黑体" w:eastAsia="黑体" w:cs="黑体"/>
          <w:sz w:val="32"/>
          <w:szCs w:val="32"/>
        </w:rPr>
      </w:pPr>
      <w:r>
        <w:rPr>
          <w:rFonts w:hint="eastAsia" w:ascii="黑体" w:hAnsi="黑体" w:eastAsia="黑体" w:cs="黑体"/>
          <w:sz w:val="32"/>
          <w:szCs w:val="32"/>
        </w:rPr>
        <w:t>三、承诺事项：</w:t>
      </w:r>
    </w:p>
    <w:p>
      <w:pPr>
        <w:ind w:firstLine="640" w:firstLineChars="200"/>
        <w:rPr>
          <w:rFonts w:ascii="仿宋" w:hAnsi="仿宋" w:eastAsia="仿宋" w:cs="仿宋"/>
          <w:sz w:val="32"/>
          <w:szCs w:val="32"/>
          <w:lang w:bidi="ar"/>
        </w:rPr>
      </w:pPr>
      <w:r>
        <w:rPr>
          <w:rFonts w:hint="eastAsia" w:ascii="仿宋" w:hAnsi="仿宋" w:eastAsia="仿宋" w:cs="仿宋"/>
          <w:sz w:val="32"/>
          <w:szCs w:val="32"/>
        </w:rPr>
        <w:t>我单位XXX（变更后机构）</w:t>
      </w:r>
      <w:r>
        <w:rPr>
          <w:rFonts w:hint="eastAsia" w:ascii="仿宋" w:hAnsi="仿宋" w:eastAsia="仿宋" w:cs="仿宋"/>
          <w:sz w:val="32"/>
          <w:szCs w:val="32"/>
          <w:lang w:bidi="ar"/>
        </w:rPr>
        <w:t>依法合规设立；具备参与票交所相关业务经营资格；已制定相关业务内部管理制度和操作规程，具有健全的公司治理结构和完善的内部控制、风险管理机制；有熟悉相关市场业务和专门从事相关业务交易的人员；具备相应的风险识别和承担能力，知悉并承担相关业务投资风险；满足对接票交所相关技术及安全性要求。</w:t>
      </w:r>
    </w:p>
    <w:p>
      <w:pPr>
        <w:ind w:firstLine="640" w:firstLineChars="200"/>
        <w:jc w:val="left"/>
        <w:rPr>
          <w:rFonts w:ascii="仿宋" w:hAnsi="仿宋" w:eastAsia="仿宋" w:cs="仿宋"/>
          <w:sz w:val="32"/>
          <w:szCs w:val="32"/>
        </w:rPr>
      </w:pPr>
      <w:r>
        <w:rPr>
          <w:rFonts w:hint="eastAsia" w:ascii="仿宋" w:hAnsi="仿宋" w:eastAsia="仿宋" w:cs="仿宋"/>
          <w:sz w:val="32"/>
          <w:szCs w:val="32"/>
          <w:lang w:bidi="ar"/>
        </w:rPr>
        <w:t>我单位保证本次申请填写资料的真实性和完整性，同意遵守票交所相关规定。 如违反承诺事项，我单位承担一切法律后果。</w:t>
      </w:r>
      <w:r>
        <w:rPr>
          <w:rFonts w:hint="eastAsia" w:ascii="仿宋" w:hAnsi="仿宋" w:eastAsia="仿宋" w:cs="仿宋"/>
          <w:sz w:val="32"/>
          <w:szCs w:val="32"/>
        </w:rPr>
        <w:t xml:space="preserve"> </w:t>
      </w:r>
    </w:p>
    <w:p>
      <w:pPr>
        <w:ind w:left="5438" w:leftChars="304" w:hanging="4800" w:hangingChars="1500"/>
        <w:jc w:val="left"/>
        <w:rPr>
          <w:rFonts w:ascii="仿宋" w:hAnsi="仿宋" w:eastAsia="仿宋" w:cs="仿宋"/>
          <w:sz w:val="32"/>
          <w:szCs w:val="32"/>
        </w:rPr>
      </w:pPr>
      <w:r>
        <w:rPr>
          <w:rFonts w:hint="eastAsia" w:ascii="仿宋" w:hAnsi="仿宋" w:eastAsia="仿宋" w:cs="仿宋"/>
          <w:sz w:val="32"/>
          <w:szCs w:val="32"/>
        </w:rPr>
        <w:t xml:space="preserve">                                                                </w:t>
      </w:r>
      <w:r>
        <w:rPr>
          <w:rFonts w:ascii="仿宋" w:hAnsi="仿宋" w:eastAsia="仿宋" w:cs="仿宋"/>
          <w:sz w:val="32"/>
          <w:szCs w:val="32"/>
        </w:rPr>
        <w:t xml:space="preserve">            </w:t>
      </w:r>
      <w:r>
        <w:rPr>
          <w:rFonts w:hint="eastAsia" w:ascii="仿宋" w:hAnsi="仿宋" w:eastAsia="仿宋" w:cs="仿宋"/>
          <w:sz w:val="32"/>
          <w:szCs w:val="32"/>
        </w:rPr>
        <w:t xml:space="preserve">     变更后机构全称</w:t>
      </w:r>
    </w:p>
    <w:p>
      <w:pPr>
        <w:ind w:firstLine="5760" w:firstLineChars="1800"/>
        <w:jc w:val="left"/>
        <w:rPr>
          <w:rFonts w:ascii="仿宋" w:hAnsi="仿宋" w:eastAsia="仿宋" w:cs="仿宋"/>
          <w:sz w:val="32"/>
          <w:szCs w:val="32"/>
        </w:rPr>
      </w:pPr>
      <w:r>
        <w:rPr>
          <w:rFonts w:hint="eastAsia" w:ascii="仿宋" w:hAnsi="仿宋" w:eastAsia="仿宋" w:cs="仿宋"/>
          <w:sz w:val="32"/>
          <w:szCs w:val="32"/>
        </w:rPr>
        <w:t xml:space="preserve">（加盖公章） </w:t>
      </w:r>
    </w:p>
    <w:p>
      <w:pPr>
        <w:ind w:firstLine="640" w:firstLineChars="200"/>
        <w:jc w:val="left"/>
        <w:rPr>
          <w:rFonts w:ascii="Times New Roman" w:hAnsi="Times New Roman" w:eastAsia="仿宋" w:cs="Times New Roman"/>
          <w:sz w:val="36"/>
          <w:szCs w:val="36"/>
        </w:rPr>
      </w:pPr>
      <w:r>
        <w:rPr>
          <w:rFonts w:hint="eastAsia" w:ascii="仿宋" w:hAnsi="仿宋" w:eastAsia="仿宋" w:cs="仿宋"/>
          <w:sz w:val="32"/>
          <w:szCs w:val="32"/>
        </w:rPr>
        <w:t xml:space="preserve">                                年</w:t>
      </w:r>
      <w:r>
        <w:rPr>
          <w:rFonts w:ascii="仿宋" w:hAnsi="仿宋" w:eastAsia="仿宋" w:cs="仿宋"/>
          <w:sz w:val="32"/>
          <w:szCs w:val="32"/>
        </w:rPr>
        <w:t xml:space="preserve">  </w:t>
      </w:r>
      <w:r>
        <w:rPr>
          <w:rFonts w:hint="eastAsia" w:ascii="仿宋" w:hAnsi="仿宋" w:eastAsia="仿宋" w:cs="仿宋"/>
          <w:sz w:val="32"/>
          <w:szCs w:val="32"/>
        </w:rPr>
        <w:t xml:space="preserve">月 </w:t>
      </w:r>
      <w:r>
        <w:rPr>
          <w:rFonts w:ascii="仿宋" w:hAnsi="仿宋" w:eastAsia="仿宋" w:cs="仿宋"/>
          <w:sz w:val="32"/>
          <w:szCs w:val="32"/>
        </w:rPr>
        <w:t xml:space="preserve"> </w:t>
      </w:r>
      <w:r>
        <w:rPr>
          <w:rFonts w:hint="eastAsia" w:ascii="仿宋" w:hAnsi="仿宋" w:eastAsia="仿宋" w:cs="仿宋"/>
          <w:sz w:val="32"/>
          <w:szCs w:val="32"/>
        </w:rPr>
        <w:t xml:space="preserve">日  </w:t>
      </w:r>
      <w:r>
        <w:rPr>
          <w:rFonts w:ascii="仿宋" w:hAnsi="仿宋" w:eastAsia="仿宋" w:cs="仿宋"/>
          <w:sz w:val="32"/>
          <w:szCs w:val="32"/>
        </w:rPr>
        <w:t xml:space="preserve">   </w:t>
      </w:r>
    </w:p>
    <w:p>
      <w:pPr>
        <w:rPr>
          <w:rFonts w:ascii="仿宋" w:hAnsi="仿宋" w:eastAsia="仿宋" w:cs="仿宋"/>
          <w:color w:val="000000"/>
        </w:rPr>
      </w:pPr>
      <w:bookmarkStart w:id="2806" w:name="_Toc15391"/>
      <w:bookmarkStart w:id="2807" w:name="_Toc21028"/>
      <w:bookmarkStart w:id="2808" w:name="_Toc22587"/>
      <w:bookmarkStart w:id="2809" w:name="_Toc19460"/>
      <w:bookmarkStart w:id="2810" w:name="_Toc815"/>
      <w:bookmarkStart w:id="2811" w:name="_Toc7812"/>
      <w:bookmarkStart w:id="2812" w:name="_Toc5454"/>
      <w:bookmarkStart w:id="2813" w:name="_Toc26082"/>
      <w:bookmarkStart w:id="2814" w:name="_Toc20395"/>
      <w:bookmarkStart w:id="2815" w:name="_Toc15818"/>
      <w:r>
        <w:rPr>
          <w:rFonts w:hint="eastAsia" w:ascii="仿宋" w:hAnsi="仿宋" w:eastAsia="仿宋" w:cs="仿宋"/>
          <w:color w:val="000000"/>
        </w:rPr>
        <w:br w:type="page"/>
      </w:r>
    </w:p>
    <w:p>
      <w:pPr>
        <w:pStyle w:val="3"/>
        <w:adjustRightInd w:val="0"/>
        <w:snapToGrid w:val="0"/>
        <w:spacing w:before="0" w:after="0" w:line="240" w:lineRule="auto"/>
        <w:textAlignment w:val="baseline"/>
        <w:rPr>
          <w:rFonts w:ascii="仿宋" w:hAnsi="仿宋" w:eastAsia="仿宋" w:cs="仿宋"/>
          <w:b w:val="0"/>
          <w:bCs w:val="0"/>
          <w:color w:val="000000"/>
        </w:rPr>
      </w:pPr>
      <w:bookmarkStart w:id="2816" w:name="_Toc7200"/>
      <w:bookmarkStart w:id="2817" w:name="_Toc615"/>
      <w:bookmarkStart w:id="2818" w:name="_Toc14205"/>
      <w:bookmarkStart w:id="2819" w:name="_Toc61413054"/>
      <w:bookmarkStart w:id="2820" w:name="_Toc26669"/>
      <w:bookmarkStart w:id="2821" w:name="_Toc1908"/>
      <w:bookmarkStart w:id="2822" w:name="_Toc18683"/>
      <w:bookmarkStart w:id="2823" w:name="_Toc30644"/>
      <w:r>
        <w:rPr>
          <w:rFonts w:hint="eastAsia" w:ascii="仿宋" w:hAnsi="仿宋" w:eastAsia="仿宋" w:cs="仿宋"/>
          <w:b w:val="0"/>
          <w:bCs w:val="0"/>
          <w:color w:val="000000"/>
        </w:rPr>
        <w:t>附件6：</w:t>
      </w:r>
      <w:bookmarkEnd w:id="2806"/>
      <w:bookmarkEnd w:id="2807"/>
      <w:bookmarkEnd w:id="2816"/>
      <w:bookmarkEnd w:id="2817"/>
      <w:bookmarkEnd w:id="2818"/>
      <w:bookmarkEnd w:id="2819"/>
      <w:bookmarkEnd w:id="2820"/>
      <w:bookmarkEnd w:id="2821"/>
      <w:bookmarkEnd w:id="2822"/>
      <w:bookmarkEnd w:id="2823"/>
    </w:p>
    <w:p>
      <w:pPr>
        <w:pStyle w:val="3"/>
        <w:spacing w:before="0" w:after="0" w:line="240" w:lineRule="auto"/>
        <w:jc w:val="center"/>
        <w:rPr>
          <w:rFonts w:ascii="黑体" w:hAnsi="黑体" w:eastAsia="黑体" w:cs="Times New Roman"/>
          <w:b w:val="0"/>
          <w:bCs w:val="0"/>
          <w:sz w:val="36"/>
        </w:rPr>
      </w:pPr>
      <w:bookmarkStart w:id="2824" w:name="_Toc21692"/>
      <w:bookmarkStart w:id="2825" w:name="_Toc8177"/>
      <w:bookmarkStart w:id="2826" w:name="_Toc26752"/>
      <w:bookmarkStart w:id="2827" w:name="_Toc28265"/>
      <w:bookmarkStart w:id="2828" w:name="_Toc28139"/>
      <w:bookmarkStart w:id="2829" w:name="_Toc1846002948"/>
      <w:bookmarkStart w:id="2830" w:name="_Toc17939"/>
      <w:bookmarkStart w:id="2831" w:name="_Toc6239"/>
      <w:bookmarkStart w:id="2832" w:name="_Toc12834"/>
      <w:bookmarkStart w:id="2833" w:name="_Toc17754"/>
      <w:r>
        <w:rPr>
          <w:rFonts w:hint="eastAsia" w:ascii="黑体" w:hAnsi="黑体" w:eastAsia="黑体" w:cs="Times New Roman"/>
          <w:b w:val="0"/>
          <w:bCs w:val="0"/>
          <w:sz w:val="36"/>
        </w:rPr>
        <w:t>业务承接申请书</w:t>
      </w:r>
      <w:bookmarkEnd w:id="2808"/>
      <w:bookmarkEnd w:id="2809"/>
      <w:bookmarkEnd w:id="2810"/>
      <w:bookmarkEnd w:id="2811"/>
      <w:bookmarkEnd w:id="2812"/>
      <w:bookmarkEnd w:id="2813"/>
      <w:bookmarkEnd w:id="2814"/>
      <w:bookmarkEnd w:id="2815"/>
      <w:bookmarkEnd w:id="2824"/>
      <w:bookmarkEnd w:id="2825"/>
      <w:bookmarkEnd w:id="2826"/>
      <w:bookmarkEnd w:id="2827"/>
      <w:bookmarkEnd w:id="2828"/>
      <w:bookmarkEnd w:id="2829"/>
      <w:bookmarkEnd w:id="2830"/>
      <w:bookmarkEnd w:id="2831"/>
      <w:bookmarkEnd w:id="2832"/>
      <w:bookmarkEnd w:id="2833"/>
    </w:p>
    <w:p>
      <w:pPr>
        <w:spacing w:line="360" w:lineRule="auto"/>
        <w:jc w:val="center"/>
        <w:rPr>
          <w:rFonts w:eastAsia="仿宋_GB2312"/>
          <w:sz w:val="36"/>
          <w:szCs w:val="36"/>
        </w:rPr>
      </w:pPr>
    </w:p>
    <w:p>
      <w:pPr>
        <w:spacing w:line="590" w:lineRule="exact"/>
        <w:rPr>
          <w:rFonts w:ascii="仿宋" w:hAnsi="仿宋" w:eastAsia="仿宋" w:cs="仿宋"/>
          <w:sz w:val="32"/>
          <w:szCs w:val="32"/>
        </w:rPr>
      </w:pPr>
      <w:r>
        <w:rPr>
          <w:rFonts w:hint="eastAsia" w:ascii="仿宋" w:hAnsi="仿宋" w:eastAsia="仿宋" w:cs="仿宋"/>
          <w:sz w:val="32"/>
          <w:szCs w:val="32"/>
        </w:rPr>
        <w:t>上海票据交易所：</w:t>
      </w:r>
    </w:p>
    <w:p>
      <w:pPr>
        <w:spacing w:line="590" w:lineRule="exact"/>
        <w:ind w:firstLine="600"/>
        <w:rPr>
          <w:rFonts w:ascii="仿宋" w:hAnsi="仿宋" w:eastAsia="仿宋" w:cs="仿宋"/>
          <w:sz w:val="32"/>
          <w:szCs w:val="32"/>
        </w:rPr>
      </w:pPr>
      <w:r>
        <w:rPr>
          <w:rFonts w:hint="eastAsia" w:ascii="仿宋" w:hAnsi="仿宋" w:eastAsia="仿宋" w:cs="仿宋"/>
          <w:sz w:val="32"/>
          <w:szCs w:val="32"/>
        </w:rPr>
        <w:t>XX机构（行名：</w:t>
      </w:r>
      <w:r>
        <w:rPr>
          <w:rFonts w:hint="eastAsia" w:ascii="仿宋" w:hAnsi="仿宋" w:eastAsia="仿宋" w:cs="仿宋"/>
          <w:sz w:val="32"/>
          <w:szCs w:val="32"/>
          <w:u w:val="single"/>
        </w:rPr>
        <w:t xml:space="preserve">               </w:t>
      </w:r>
      <w:r>
        <w:rPr>
          <w:rFonts w:hint="eastAsia" w:ascii="仿宋" w:hAnsi="仿宋" w:eastAsia="仿宋" w:cs="仿宋"/>
          <w:sz w:val="32"/>
          <w:szCs w:val="32"/>
        </w:rPr>
        <w:t>，行号：</w:t>
      </w:r>
      <w:r>
        <w:rPr>
          <w:rFonts w:hint="eastAsia" w:ascii="仿宋" w:hAnsi="仿宋" w:eastAsia="仿宋" w:cs="仿宋"/>
          <w:sz w:val="32"/>
          <w:szCs w:val="32"/>
          <w:u w:val="single"/>
        </w:rPr>
        <w:t xml:space="preserve">          </w:t>
      </w:r>
      <w:r>
        <w:rPr>
          <w:rFonts w:hint="eastAsia" w:ascii="仿宋" w:hAnsi="仿宋" w:eastAsia="仿宋" w:cs="仿宋"/>
          <w:sz w:val="32"/>
          <w:szCs w:val="32"/>
        </w:rPr>
        <w:t>）由于XX原因，需由我机构（行名：</w:t>
      </w:r>
      <w:r>
        <w:rPr>
          <w:rFonts w:hint="eastAsia" w:ascii="仿宋" w:hAnsi="仿宋" w:eastAsia="仿宋" w:cs="仿宋"/>
          <w:sz w:val="32"/>
          <w:szCs w:val="32"/>
          <w:u w:val="single"/>
        </w:rPr>
        <w:t xml:space="preserve">              </w:t>
      </w:r>
      <w:r>
        <w:rPr>
          <w:rFonts w:hint="eastAsia" w:ascii="仿宋" w:hAnsi="仿宋" w:eastAsia="仿宋" w:cs="仿宋"/>
          <w:sz w:val="32"/>
          <w:szCs w:val="32"/>
        </w:rPr>
        <w:t>，行号：</w:t>
      </w:r>
      <w:r>
        <w:rPr>
          <w:rFonts w:hint="eastAsia" w:ascii="仿宋" w:hAnsi="仿宋" w:eastAsia="仿宋" w:cs="仿宋"/>
          <w:sz w:val="32"/>
          <w:szCs w:val="32"/>
          <w:u w:val="single"/>
        </w:rPr>
        <w:t xml:space="preserve">          </w:t>
      </w:r>
      <w:r>
        <w:rPr>
          <w:rFonts w:hint="eastAsia" w:ascii="仿宋" w:hAnsi="仿宋" w:eastAsia="仿宋" w:cs="仿宋"/>
          <w:sz w:val="32"/>
          <w:szCs w:val="32"/>
        </w:rPr>
        <w:t>）承接其票据业务。我机构愿意承担因业务承接产生的相应法律责任。请贵单位予以办理。</w:t>
      </w:r>
    </w:p>
    <w:p>
      <w:pPr>
        <w:spacing w:line="360" w:lineRule="auto"/>
        <w:ind w:firstLine="600"/>
        <w:rPr>
          <w:rFonts w:ascii="仿宋" w:hAnsi="仿宋" w:eastAsia="仿宋" w:cs="仿宋"/>
          <w:sz w:val="32"/>
          <w:szCs w:val="32"/>
        </w:rPr>
      </w:pPr>
    </w:p>
    <w:p>
      <w:pPr>
        <w:spacing w:line="360" w:lineRule="auto"/>
        <w:ind w:firstLine="600"/>
        <w:rPr>
          <w:rFonts w:ascii="仿宋" w:hAnsi="仿宋" w:eastAsia="仿宋" w:cs="仿宋"/>
          <w:sz w:val="32"/>
          <w:szCs w:val="32"/>
        </w:rPr>
      </w:pPr>
    </w:p>
    <w:p>
      <w:pPr>
        <w:spacing w:line="360" w:lineRule="auto"/>
        <w:ind w:firstLine="600"/>
        <w:rPr>
          <w:rFonts w:ascii="仿宋" w:hAnsi="仿宋" w:eastAsia="仿宋" w:cs="仿宋"/>
          <w:sz w:val="32"/>
          <w:szCs w:val="32"/>
        </w:rPr>
      </w:pPr>
    </w:p>
    <w:p>
      <w:pPr>
        <w:spacing w:line="360" w:lineRule="auto"/>
        <w:ind w:firstLine="600"/>
        <w:rPr>
          <w:rFonts w:ascii="仿宋" w:hAnsi="仿宋" w:eastAsia="仿宋" w:cs="仿宋"/>
          <w:sz w:val="32"/>
          <w:szCs w:val="32"/>
        </w:rPr>
      </w:pPr>
    </w:p>
    <w:p>
      <w:pPr>
        <w:spacing w:line="360" w:lineRule="auto"/>
        <w:ind w:firstLine="600"/>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960" w:firstLineChars="300"/>
        <w:rPr>
          <w:rFonts w:ascii="仿宋" w:hAnsi="仿宋" w:eastAsia="仿宋" w:cs="仿宋"/>
          <w:sz w:val="32"/>
          <w:szCs w:val="32"/>
        </w:rPr>
      </w:pPr>
      <w:r>
        <w:rPr>
          <w:rFonts w:hint="eastAsia" w:ascii="仿宋" w:hAnsi="仿宋" w:eastAsia="仿宋" w:cs="仿宋"/>
          <w:sz w:val="32"/>
          <w:szCs w:val="32"/>
        </w:rPr>
        <w:t xml:space="preserve">承接机构盖章   </w:t>
      </w:r>
      <w:r>
        <w:rPr>
          <w:rFonts w:ascii="仿宋" w:hAnsi="仿宋" w:eastAsia="仿宋" w:cs="仿宋"/>
          <w:sz w:val="32"/>
          <w:szCs w:val="32"/>
        </w:rPr>
        <w:t xml:space="preserve">             </w:t>
      </w:r>
      <w:r>
        <w:rPr>
          <w:rFonts w:hint="eastAsia" w:ascii="仿宋" w:hAnsi="仿宋" w:eastAsia="仿宋" w:cs="仿宋"/>
          <w:sz w:val="32"/>
          <w:szCs w:val="32"/>
        </w:rPr>
        <w:t>被承接机构盖章</w:t>
      </w:r>
    </w:p>
    <w:p>
      <w:pPr>
        <w:spacing w:line="360" w:lineRule="auto"/>
        <w:ind w:firstLine="600"/>
        <w:rPr>
          <w:rFonts w:ascii="仿宋" w:hAnsi="仿宋" w:eastAsia="仿宋" w:cs="仿宋"/>
          <w:sz w:val="32"/>
          <w:szCs w:val="32"/>
        </w:rPr>
      </w:pPr>
      <w:r>
        <w:rPr>
          <w:rFonts w:hint="eastAsia" w:ascii="仿宋" w:hAnsi="仿宋" w:eastAsia="仿宋" w:cs="仿宋"/>
          <w:sz w:val="32"/>
          <w:szCs w:val="32"/>
        </w:rPr>
        <w:t xml:space="preserve">  </w:t>
      </w:r>
      <w:r>
        <w:rPr>
          <w:rFonts w:ascii="仿宋" w:hAnsi="仿宋" w:eastAsia="仿宋" w:cs="仿宋"/>
          <w:sz w:val="32"/>
          <w:szCs w:val="32"/>
        </w:rPr>
        <w:t xml:space="preserve"> </w:t>
      </w:r>
      <w:r>
        <w:rPr>
          <w:rFonts w:hint="eastAsia" w:ascii="仿宋" w:hAnsi="仿宋" w:eastAsia="仿宋" w:cs="仿宋"/>
          <w:sz w:val="32"/>
          <w:szCs w:val="32"/>
        </w:rPr>
        <w:t xml:space="preserve">年  月  日                   </w:t>
      </w:r>
      <w:r>
        <w:rPr>
          <w:rFonts w:ascii="仿宋" w:hAnsi="仿宋" w:eastAsia="仿宋" w:cs="仿宋"/>
          <w:sz w:val="32"/>
          <w:szCs w:val="32"/>
        </w:rPr>
        <w:t xml:space="preserve"> </w:t>
      </w:r>
      <w:r>
        <w:rPr>
          <w:rFonts w:hint="eastAsia" w:ascii="仿宋" w:hAnsi="仿宋" w:eastAsia="仿宋" w:cs="仿宋"/>
          <w:sz w:val="32"/>
          <w:szCs w:val="32"/>
        </w:rPr>
        <w:t>年  月  日</w:t>
      </w:r>
    </w:p>
    <w:p>
      <w:pPr>
        <w:rPr>
          <w:rFonts w:ascii="Times New Roman" w:hAnsi="Times New Roman" w:eastAsia="仿宋" w:cs="Times New Roman"/>
          <w:sz w:val="36"/>
          <w:szCs w:val="36"/>
        </w:rPr>
      </w:pPr>
    </w:p>
    <w:p>
      <w:pPr>
        <w:rPr>
          <w:rFonts w:ascii="Times New Roman" w:hAnsi="Times New Roman" w:eastAsia="仿宋" w:cs="Times New Roman"/>
          <w:sz w:val="36"/>
          <w:szCs w:val="36"/>
        </w:rPr>
      </w:pPr>
    </w:p>
    <w:p>
      <w:pPr>
        <w:rPr>
          <w:rFonts w:ascii="Times New Roman" w:hAnsi="Times New Roman" w:eastAsia="仿宋" w:cs="Times New Roman"/>
          <w:sz w:val="36"/>
          <w:szCs w:val="36"/>
        </w:rPr>
      </w:pPr>
    </w:p>
    <w:p>
      <w:pPr>
        <w:pStyle w:val="3"/>
        <w:spacing w:before="0" w:after="0" w:line="240" w:lineRule="auto"/>
        <w:rPr>
          <w:rFonts w:ascii="Times New Roman" w:hAnsi="Times New Roman" w:eastAsia="仿宋" w:cs="Times New Roman"/>
          <w:sz w:val="36"/>
          <w:szCs w:val="36"/>
        </w:rPr>
        <w:sectPr>
          <w:headerReference r:id="rId8" w:type="default"/>
          <w:footerReference r:id="rId9" w:type="default"/>
          <w:pgSz w:w="11910" w:h="16840"/>
          <w:pgMar w:top="1440" w:right="1678" w:bottom="1440" w:left="1678" w:header="720" w:footer="720" w:gutter="0"/>
          <w:pgBorders>
            <w:top w:val="none" w:sz="0" w:space="0"/>
            <w:left w:val="none" w:sz="0" w:space="0"/>
            <w:bottom w:val="none" w:sz="0" w:space="0"/>
            <w:right w:val="none" w:sz="0" w:space="0"/>
          </w:pgBorders>
          <w:pgNumType w:fmt="decimal"/>
          <w:cols w:space="720" w:num="1"/>
          <w:docGrid w:linePitch="286" w:charSpace="0"/>
        </w:sectPr>
      </w:pPr>
    </w:p>
    <w:p>
      <w:pPr>
        <w:pStyle w:val="3"/>
        <w:adjustRightInd w:val="0"/>
        <w:snapToGrid w:val="0"/>
        <w:spacing w:before="0" w:after="0" w:line="240" w:lineRule="auto"/>
        <w:textAlignment w:val="baseline"/>
        <w:rPr>
          <w:rFonts w:ascii="仿宋" w:hAnsi="仿宋" w:eastAsia="仿宋" w:cs="仿宋"/>
          <w:b w:val="0"/>
          <w:bCs w:val="0"/>
          <w:color w:val="000000"/>
        </w:rPr>
      </w:pPr>
      <w:bookmarkStart w:id="2834" w:name="_Toc30834"/>
      <w:bookmarkStart w:id="2835" w:name="_Toc28970"/>
      <w:bookmarkStart w:id="2836" w:name="_Toc1566"/>
      <w:bookmarkStart w:id="2837" w:name="_Toc32457"/>
      <w:bookmarkStart w:id="2838" w:name="_Toc24016"/>
      <w:bookmarkStart w:id="2839" w:name="_Toc7424"/>
      <w:bookmarkStart w:id="2840" w:name="_Toc30334"/>
      <w:bookmarkStart w:id="2841" w:name="_Toc23557"/>
      <w:bookmarkStart w:id="2842" w:name="_Toc14553"/>
      <w:bookmarkStart w:id="2843" w:name="_Toc1403145557"/>
      <w:bookmarkStart w:id="2844" w:name="_Toc25506"/>
      <w:bookmarkStart w:id="2845" w:name="_Toc6817"/>
      <w:bookmarkStart w:id="2846" w:name="_Toc10820"/>
      <w:bookmarkStart w:id="2847" w:name="_Toc21910"/>
      <w:bookmarkStart w:id="2848" w:name="_Toc4541"/>
      <w:bookmarkStart w:id="2849" w:name="_Toc19361"/>
      <w:bookmarkStart w:id="2850" w:name="_Toc8417"/>
      <w:bookmarkStart w:id="2851" w:name="_Toc2170"/>
      <w:r>
        <w:rPr>
          <w:rFonts w:hint="eastAsia" w:ascii="仿宋" w:hAnsi="仿宋" w:eastAsia="仿宋" w:cs="仿宋"/>
          <w:b w:val="0"/>
          <w:bCs w:val="0"/>
          <w:color w:val="000000"/>
        </w:rPr>
        <w:t>附件7：</w:t>
      </w:r>
      <w:bookmarkEnd w:id="2834"/>
      <w:bookmarkEnd w:id="2835"/>
      <w:bookmarkEnd w:id="2836"/>
      <w:bookmarkEnd w:id="2837"/>
      <w:bookmarkEnd w:id="2838"/>
      <w:bookmarkEnd w:id="2839"/>
      <w:bookmarkEnd w:id="2840"/>
      <w:bookmarkEnd w:id="2841"/>
      <w:bookmarkEnd w:id="2842"/>
      <w:bookmarkEnd w:id="2843"/>
    </w:p>
    <w:p>
      <w:pPr>
        <w:pStyle w:val="3"/>
        <w:spacing w:before="0" w:after="0" w:line="240" w:lineRule="auto"/>
        <w:jc w:val="center"/>
        <w:rPr>
          <w:rFonts w:ascii="黑体" w:hAnsi="黑体" w:eastAsia="黑体" w:cs="Times New Roman"/>
          <w:b w:val="0"/>
          <w:bCs w:val="0"/>
          <w:sz w:val="36"/>
        </w:rPr>
      </w:pPr>
      <w:bookmarkStart w:id="2852" w:name="_Toc40637535"/>
      <w:bookmarkStart w:id="2853" w:name="_Toc10462"/>
      <w:bookmarkStart w:id="2854" w:name="_Toc27385"/>
      <w:bookmarkStart w:id="2855" w:name="_Toc9645"/>
      <w:bookmarkStart w:id="2856" w:name="_Toc15103"/>
      <w:bookmarkStart w:id="2857" w:name="_Toc32125"/>
      <w:bookmarkStart w:id="2858" w:name="_Toc1396"/>
      <w:bookmarkStart w:id="2859" w:name="_Toc28087"/>
      <w:bookmarkStart w:id="2860" w:name="_Toc26419"/>
      <w:bookmarkStart w:id="2861" w:name="_Toc20085"/>
      <w:r>
        <w:rPr>
          <w:rFonts w:hint="eastAsia" w:ascii="黑体" w:hAnsi="黑体" w:eastAsia="黑体" w:cs="Times New Roman"/>
          <w:b w:val="0"/>
          <w:bCs w:val="0"/>
          <w:sz w:val="36"/>
        </w:rPr>
        <w:t>人民银行清算账户使用授权书</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pPr>
        <w:spacing w:line="560" w:lineRule="exact"/>
        <w:rPr>
          <w:rFonts w:ascii="仿宋" w:hAnsi="仿宋" w:eastAsia="仿宋" w:cs="仿宋"/>
          <w:sz w:val="32"/>
          <w:szCs w:val="32"/>
        </w:rPr>
      </w:pPr>
    </w:p>
    <w:p>
      <w:pPr>
        <w:spacing w:line="590" w:lineRule="exact"/>
        <w:rPr>
          <w:rFonts w:ascii="仿宋" w:hAnsi="仿宋" w:eastAsia="仿宋" w:cs="仿宋"/>
          <w:sz w:val="32"/>
          <w:szCs w:val="32"/>
        </w:rPr>
      </w:pPr>
      <w:r>
        <w:rPr>
          <w:rFonts w:hint="eastAsia" w:ascii="仿宋" w:hAnsi="仿宋" w:eastAsia="仿宋" w:cs="仿宋"/>
          <w:sz w:val="32"/>
          <w:szCs w:val="32"/>
        </w:rPr>
        <w:t>上海票据交易所：</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我单位授权以下机构共***家（名单见下表）通过我单位大额支付系统清算账户（大额行号为**********）进行票据业务系统资金清算，由此产生的法律和流动性风险由我单位自行承担。</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授权事宜联系人：        联系电话：</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法人机构全称（加盖公章）</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法定代表人签字：   </w:t>
      </w:r>
    </w:p>
    <w:p>
      <w:pPr>
        <w:spacing w:line="59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年   月   日</w:t>
      </w:r>
    </w:p>
    <w:p>
      <w:pPr>
        <w:spacing w:line="560" w:lineRule="exact"/>
        <w:ind w:firstLine="640" w:firstLineChars="200"/>
        <w:rPr>
          <w:rFonts w:ascii="仿宋" w:hAnsi="仿宋" w:eastAsia="仿宋" w:cs="仿宋"/>
          <w:sz w:val="32"/>
          <w:szCs w:val="32"/>
        </w:rPr>
      </w:pPr>
    </w:p>
    <w:p>
      <w:pPr>
        <w:spacing w:line="560" w:lineRule="exact"/>
        <w:rPr>
          <w:rFonts w:ascii="仿宋" w:hAnsi="仿宋" w:eastAsia="仿宋" w:cs="仿宋"/>
          <w:sz w:val="32"/>
          <w:szCs w:val="32"/>
        </w:rPr>
      </w:pPr>
      <w:r>
        <w:rPr>
          <w:rFonts w:hint="eastAsia" w:ascii="仿宋" w:hAnsi="仿宋" w:eastAsia="仿宋" w:cs="仿宋"/>
          <w:sz w:val="32"/>
          <w:szCs w:val="32"/>
        </w:rPr>
        <w:t>附表：</w:t>
      </w:r>
    </w:p>
    <w:p>
      <w:pPr>
        <w:spacing w:line="560" w:lineRule="exact"/>
        <w:jc w:val="center"/>
        <w:rPr>
          <w:rFonts w:ascii="仿宋" w:hAnsi="仿宋" w:eastAsia="仿宋" w:cs="仿宋"/>
          <w:sz w:val="32"/>
          <w:szCs w:val="32"/>
        </w:rPr>
      </w:pPr>
      <w:r>
        <w:rPr>
          <w:rFonts w:hint="eastAsia" w:ascii="仿宋" w:hAnsi="仿宋" w:eastAsia="仿宋" w:cs="仿宋"/>
          <w:sz w:val="32"/>
          <w:szCs w:val="32"/>
        </w:rPr>
        <w:t>被授权机构名单</w:t>
      </w:r>
    </w:p>
    <w:tbl>
      <w:tblPr>
        <w:tblStyle w:val="18"/>
        <w:tblpPr w:leftFromText="180" w:rightFromText="180" w:vertAnchor="text" w:horzAnchor="margin" w:tblpY="3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4591"/>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rPr>
                <w:rFonts w:ascii="仿宋" w:hAnsi="仿宋" w:eastAsia="仿宋" w:cs="仿宋"/>
                <w:sz w:val="32"/>
                <w:szCs w:val="32"/>
              </w:rPr>
            </w:pPr>
            <w:r>
              <w:rPr>
                <w:rFonts w:hint="eastAsia" w:ascii="仿宋" w:hAnsi="仿宋" w:eastAsia="仿宋" w:cs="仿宋"/>
                <w:sz w:val="32"/>
                <w:szCs w:val="32"/>
              </w:rPr>
              <w:t>序号</w:t>
            </w:r>
          </w:p>
        </w:tc>
        <w:tc>
          <w:tcPr>
            <w:tcW w:w="4591" w:type="dxa"/>
          </w:tcPr>
          <w:p>
            <w:pPr>
              <w:spacing w:line="560" w:lineRule="exact"/>
              <w:jc w:val="center"/>
              <w:rPr>
                <w:rFonts w:ascii="仿宋" w:hAnsi="仿宋" w:eastAsia="仿宋" w:cs="仿宋"/>
                <w:sz w:val="32"/>
                <w:szCs w:val="32"/>
              </w:rPr>
            </w:pPr>
            <w:r>
              <w:rPr>
                <w:rFonts w:hint="eastAsia" w:ascii="仿宋" w:hAnsi="仿宋" w:eastAsia="仿宋" w:cs="仿宋"/>
                <w:sz w:val="32"/>
                <w:szCs w:val="32"/>
              </w:rPr>
              <w:t>机构名称</w:t>
            </w:r>
          </w:p>
        </w:tc>
        <w:tc>
          <w:tcPr>
            <w:tcW w:w="2878" w:type="dxa"/>
          </w:tcPr>
          <w:p>
            <w:pPr>
              <w:spacing w:line="560" w:lineRule="exact"/>
              <w:rPr>
                <w:rFonts w:ascii="仿宋" w:hAnsi="仿宋" w:eastAsia="仿宋" w:cs="仿宋"/>
                <w:sz w:val="32"/>
                <w:szCs w:val="32"/>
              </w:rPr>
            </w:pPr>
            <w:r>
              <w:rPr>
                <w:rFonts w:hint="eastAsia" w:ascii="仿宋" w:hAnsi="仿宋" w:eastAsia="仿宋" w:cs="仿宋"/>
                <w:sz w:val="32"/>
                <w:szCs w:val="32"/>
              </w:rPr>
              <w:t>大额支付系统行号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ind w:firstLine="640" w:firstLineChars="200"/>
              <w:rPr>
                <w:rFonts w:ascii="仿宋" w:hAnsi="仿宋" w:eastAsia="仿宋" w:cs="仿宋"/>
                <w:sz w:val="32"/>
                <w:szCs w:val="32"/>
              </w:rPr>
            </w:pPr>
          </w:p>
        </w:tc>
        <w:tc>
          <w:tcPr>
            <w:tcW w:w="4591" w:type="dxa"/>
          </w:tcPr>
          <w:p>
            <w:pPr>
              <w:spacing w:line="560" w:lineRule="exact"/>
              <w:ind w:firstLine="640" w:firstLineChars="200"/>
              <w:rPr>
                <w:rFonts w:ascii="仿宋" w:hAnsi="仿宋" w:eastAsia="仿宋" w:cs="仿宋"/>
                <w:sz w:val="32"/>
                <w:szCs w:val="32"/>
              </w:rPr>
            </w:pPr>
          </w:p>
        </w:tc>
        <w:tc>
          <w:tcPr>
            <w:tcW w:w="2878" w:type="dxa"/>
          </w:tcPr>
          <w:p>
            <w:pPr>
              <w:spacing w:line="560" w:lineRule="exact"/>
              <w:ind w:firstLine="640" w:firstLineChars="200"/>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ind w:firstLine="640" w:firstLineChars="200"/>
              <w:rPr>
                <w:rFonts w:ascii="仿宋" w:hAnsi="仿宋" w:eastAsia="仿宋" w:cs="仿宋"/>
                <w:sz w:val="32"/>
                <w:szCs w:val="32"/>
              </w:rPr>
            </w:pPr>
          </w:p>
        </w:tc>
        <w:tc>
          <w:tcPr>
            <w:tcW w:w="4591" w:type="dxa"/>
          </w:tcPr>
          <w:p>
            <w:pPr>
              <w:spacing w:line="560" w:lineRule="exact"/>
              <w:ind w:firstLine="640" w:firstLineChars="200"/>
              <w:rPr>
                <w:rFonts w:ascii="仿宋" w:hAnsi="仿宋" w:eastAsia="仿宋" w:cs="仿宋"/>
                <w:sz w:val="32"/>
                <w:szCs w:val="32"/>
              </w:rPr>
            </w:pPr>
          </w:p>
        </w:tc>
        <w:tc>
          <w:tcPr>
            <w:tcW w:w="2878" w:type="dxa"/>
          </w:tcPr>
          <w:p>
            <w:pPr>
              <w:spacing w:line="560" w:lineRule="exact"/>
              <w:ind w:firstLine="640" w:firstLineChars="200"/>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ind w:firstLine="640" w:firstLineChars="200"/>
              <w:rPr>
                <w:rFonts w:ascii="仿宋" w:hAnsi="仿宋" w:eastAsia="仿宋" w:cs="仿宋"/>
                <w:sz w:val="32"/>
                <w:szCs w:val="32"/>
              </w:rPr>
            </w:pPr>
          </w:p>
        </w:tc>
        <w:tc>
          <w:tcPr>
            <w:tcW w:w="4591" w:type="dxa"/>
          </w:tcPr>
          <w:p>
            <w:pPr>
              <w:spacing w:line="560" w:lineRule="exact"/>
              <w:ind w:firstLine="640" w:firstLineChars="200"/>
              <w:rPr>
                <w:rFonts w:ascii="仿宋" w:hAnsi="仿宋" w:eastAsia="仿宋" w:cs="仿宋"/>
                <w:sz w:val="32"/>
                <w:szCs w:val="32"/>
              </w:rPr>
            </w:pPr>
          </w:p>
        </w:tc>
        <w:tc>
          <w:tcPr>
            <w:tcW w:w="2878" w:type="dxa"/>
          </w:tcPr>
          <w:p>
            <w:pPr>
              <w:spacing w:line="560" w:lineRule="exact"/>
              <w:ind w:firstLine="640" w:firstLineChars="200"/>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ind w:firstLine="640" w:firstLineChars="200"/>
              <w:rPr>
                <w:rFonts w:ascii="仿宋" w:hAnsi="仿宋" w:eastAsia="仿宋" w:cs="仿宋"/>
                <w:sz w:val="32"/>
                <w:szCs w:val="32"/>
              </w:rPr>
            </w:pPr>
          </w:p>
        </w:tc>
        <w:tc>
          <w:tcPr>
            <w:tcW w:w="4591" w:type="dxa"/>
          </w:tcPr>
          <w:p>
            <w:pPr>
              <w:spacing w:line="560" w:lineRule="exact"/>
              <w:ind w:firstLine="640" w:firstLineChars="200"/>
              <w:rPr>
                <w:rFonts w:ascii="仿宋" w:hAnsi="仿宋" w:eastAsia="仿宋" w:cs="仿宋"/>
                <w:sz w:val="32"/>
                <w:szCs w:val="32"/>
              </w:rPr>
            </w:pPr>
          </w:p>
        </w:tc>
        <w:tc>
          <w:tcPr>
            <w:tcW w:w="2878" w:type="dxa"/>
          </w:tcPr>
          <w:p>
            <w:pPr>
              <w:spacing w:line="560" w:lineRule="exact"/>
              <w:ind w:firstLine="640" w:firstLineChars="200"/>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560" w:lineRule="exact"/>
              <w:ind w:firstLine="640" w:firstLineChars="200"/>
              <w:rPr>
                <w:rFonts w:ascii="仿宋" w:hAnsi="仿宋" w:eastAsia="仿宋" w:cs="仿宋"/>
                <w:sz w:val="32"/>
                <w:szCs w:val="32"/>
              </w:rPr>
            </w:pPr>
          </w:p>
        </w:tc>
        <w:tc>
          <w:tcPr>
            <w:tcW w:w="4591" w:type="dxa"/>
          </w:tcPr>
          <w:p>
            <w:pPr>
              <w:spacing w:line="560" w:lineRule="exact"/>
              <w:ind w:firstLine="640" w:firstLineChars="200"/>
              <w:rPr>
                <w:rFonts w:ascii="仿宋" w:hAnsi="仿宋" w:eastAsia="仿宋" w:cs="仿宋"/>
                <w:sz w:val="32"/>
                <w:szCs w:val="32"/>
              </w:rPr>
            </w:pPr>
          </w:p>
        </w:tc>
        <w:tc>
          <w:tcPr>
            <w:tcW w:w="2878" w:type="dxa"/>
          </w:tcPr>
          <w:p>
            <w:pPr>
              <w:spacing w:line="560" w:lineRule="exact"/>
              <w:ind w:firstLine="640" w:firstLineChars="200"/>
              <w:rPr>
                <w:rFonts w:ascii="仿宋" w:hAnsi="仿宋" w:eastAsia="仿宋" w:cs="仿宋"/>
                <w:sz w:val="32"/>
                <w:szCs w:val="32"/>
              </w:rPr>
            </w:pPr>
          </w:p>
        </w:tc>
      </w:tr>
    </w:tbl>
    <w:p>
      <w:pPr>
        <w:spacing w:line="560" w:lineRule="exact"/>
        <w:ind w:firstLine="640" w:firstLineChars="200"/>
        <w:rPr>
          <w:rFonts w:ascii="仿宋" w:hAnsi="仿宋" w:eastAsia="仿宋" w:cs="仿宋"/>
          <w:sz w:val="32"/>
          <w:szCs w:val="32"/>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adjustRightInd w:val="0"/>
        <w:snapToGrid w:val="0"/>
        <w:spacing w:before="0" w:after="0" w:line="240" w:lineRule="auto"/>
        <w:textAlignment w:val="baseline"/>
        <w:rPr>
          <w:rFonts w:ascii="仿宋" w:hAnsi="仿宋" w:eastAsia="仿宋" w:cs="仿宋"/>
          <w:b w:val="0"/>
          <w:bCs w:val="0"/>
          <w:color w:val="000000"/>
          <w:lang w:bidi="ar"/>
        </w:rPr>
      </w:pPr>
      <w:bookmarkStart w:id="2862" w:name="_Toc13959"/>
      <w:bookmarkStart w:id="2863" w:name="_Toc12611"/>
      <w:bookmarkStart w:id="2864" w:name="_Toc30321"/>
      <w:bookmarkStart w:id="2865" w:name="_Toc30845"/>
      <w:bookmarkStart w:id="2866" w:name="_Toc23133"/>
      <w:bookmarkStart w:id="2867" w:name="_Toc7996"/>
      <w:bookmarkStart w:id="2868" w:name="_Toc3517"/>
      <w:bookmarkStart w:id="2869" w:name="_Toc13276"/>
      <w:bookmarkStart w:id="2870" w:name="_Toc6620"/>
      <w:bookmarkStart w:id="2871" w:name="_Toc793322900"/>
      <w:r>
        <w:rPr>
          <w:rFonts w:hint="eastAsia" w:ascii="仿宋" w:hAnsi="仿宋" w:eastAsia="仿宋" w:cs="仿宋"/>
          <w:b w:val="0"/>
          <w:bCs w:val="0"/>
          <w:color w:val="000000"/>
          <w:lang w:bidi="ar"/>
        </w:rPr>
        <w:t>附件8：</w:t>
      </w:r>
      <w:bookmarkEnd w:id="2862"/>
      <w:bookmarkEnd w:id="2863"/>
      <w:bookmarkEnd w:id="2864"/>
      <w:bookmarkEnd w:id="2865"/>
      <w:bookmarkEnd w:id="2866"/>
      <w:bookmarkEnd w:id="2867"/>
      <w:bookmarkEnd w:id="2868"/>
      <w:bookmarkEnd w:id="2869"/>
      <w:bookmarkEnd w:id="2870"/>
      <w:bookmarkEnd w:id="2871"/>
    </w:p>
    <w:p>
      <w:pPr>
        <w:pStyle w:val="3"/>
        <w:spacing w:before="0" w:after="0" w:line="240" w:lineRule="auto"/>
        <w:jc w:val="center"/>
        <w:rPr>
          <w:rFonts w:ascii="黑体" w:hAnsi="黑体" w:eastAsia="黑体" w:cs="Times New Roman"/>
          <w:b w:val="0"/>
          <w:bCs w:val="0"/>
          <w:sz w:val="36"/>
          <w:szCs w:val="36"/>
        </w:rPr>
      </w:pPr>
      <w:bookmarkStart w:id="2872" w:name="_Toc761072482"/>
      <w:bookmarkStart w:id="2873" w:name="_Toc20917"/>
      <w:bookmarkStart w:id="2874" w:name="_Toc30151"/>
      <w:bookmarkStart w:id="2875" w:name="_Toc31918"/>
      <w:bookmarkStart w:id="2876" w:name="_Toc15029"/>
      <w:bookmarkStart w:id="2877" w:name="_Toc19333"/>
      <w:bookmarkStart w:id="2878" w:name="_Toc12720"/>
      <w:bookmarkStart w:id="2879" w:name="_Toc4152"/>
      <w:r>
        <w:rPr>
          <w:rFonts w:hint="eastAsia" w:ascii="黑体" w:hAnsi="黑体" w:eastAsia="黑体" w:cs="Times New Roman"/>
          <w:b w:val="0"/>
          <w:bCs w:val="0"/>
          <w:sz w:val="36"/>
          <w:szCs w:val="36"/>
        </w:rPr>
        <w:t>上海票据交易所参与者变更申请表</w:t>
      </w:r>
      <w:bookmarkEnd w:id="2872"/>
      <w:bookmarkEnd w:id="2873"/>
      <w:bookmarkEnd w:id="2874"/>
      <w:bookmarkEnd w:id="2875"/>
      <w:bookmarkEnd w:id="2876"/>
      <w:bookmarkEnd w:id="2877"/>
      <w:bookmarkEnd w:id="2878"/>
      <w:bookmarkEnd w:id="2879"/>
    </w:p>
    <w:tbl>
      <w:tblPr>
        <w:tblStyle w:val="19"/>
        <w:tblW w:w="10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613"/>
        <w:gridCol w:w="1015"/>
        <w:gridCol w:w="442"/>
        <w:gridCol w:w="1713"/>
        <w:gridCol w:w="423"/>
        <w:gridCol w:w="1340"/>
        <w:gridCol w:w="1161"/>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0" w:type="dxa"/>
            <w:gridSpan w:val="7"/>
            <w:tcBorders>
              <w:top w:val="nil"/>
              <w:left w:val="nil"/>
              <w:bottom w:val="nil"/>
              <w:right w:val="nil"/>
            </w:tcBorders>
          </w:tcPr>
          <w:p>
            <w:pPr>
              <w:rPr>
                <w:rFonts w:ascii="仿宋" w:hAnsi="仿宋" w:eastAsia="仿宋"/>
                <w:sz w:val="22"/>
              </w:rPr>
            </w:pPr>
            <w:r>
              <w:rPr>
                <w:rFonts w:hint="eastAsia" w:ascii="仿宋" w:hAnsi="仿宋" w:eastAsia="仿宋"/>
                <w:sz w:val="22"/>
              </w:rPr>
              <w:t>法人机构全称：</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（加盖公章）</w:t>
            </w:r>
          </w:p>
        </w:tc>
        <w:tc>
          <w:tcPr>
            <w:tcW w:w="3180" w:type="dxa"/>
            <w:gridSpan w:val="2"/>
            <w:tcBorders>
              <w:top w:val="nil"/>
              <w:left w:val="nil"/>
              <w:bottom w:val="nil"/>
              <w:right w:val="nil"/>
            </w:tcBorders>
          </w:tcPr>
          <w:p>
            <w:pPr>
              <w:ind w:right="-252"/>
              <w:rPr>
                <w:rFonts w:ascii="仿宋" w:hAnsi="仿宋" w:eastAsia="仿宋"/>
                <w:sz w:val="22"/>
              </w:rPr>
            </w:pPr>
            <w:r>
              <w:rPr>
                <w:rFonts w:hint="eastAsia" w:ascii="仿宋" w:hAnsi="仿宋" w:eastAsia="仿宋"/>
                <w:sz w:val="22"/>
              </w:rPr>
              <w:t>申请日期：</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年</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月</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20" w:type="dxa"/>
            <w:gridSpan w:val="9"/>
            <w:tcBorders>
              <w:top w:val="nil"/>
              <w:left w:val="nil"/>
              <w:bottom w:val="single" w:color="auto" w:sz="4" w:space="0"/>
              <w:right w:val="nil"/>
            </w:tcBorders>
          </w:tcPr>
          <w:p>
            <w:pPr>
              <w:spacing w:before="156" w:beforeLines="50"/>
              <w:rPr>
                <w:rFonts w:ascii="仿宋" w:hAnsi="仿宋" w:eastAsia="仿宋"/>
                <w:sz w:val="22"/>
              </w:rPr>
            </w:pPr>
            <w:r>
              <w:rPr>
                <w:rFonts w:hint="eastAsia" w:ascii="仿宋" w:hAnsi="仿宋" w:eastAsia="仿宋"/>
                <w:sz w:val="22"/>
              </w:rPr>
              <w:t>变更事项：□法人机构信息变更</w:t>
            </w:r>
            <w:r>
              <w:rPr>
                <w:rFonts w:ascii="仿宋" w:hAnsi="仿宋" w:eastAsia="仿宋"/>
                <w:sz w:val="22"/>
              </w:rPr>
              <w:t xml:space="preserve">                 </w:t>
            </w:r>
            <w:r>
              <w:rPr>
                <w:rFonts w:hint="eastAsia" w:ascii="仿宋" w:hAnsi="仿宋" w:eastAsia="仿宋"/>
                <w:sz w:val="22"/>
              </w:rPr>
              <w:t>□分支机构信息变更</w:t>
            </w:r>
          </w:p>
          <w:p>
            <w:pPr>
              <w:rPr>
                <w:rFonts w:ascii="仿宋" w:hAnsi="仿宋" w:eastAsia="仿宋"/>
                <w:sz w:val="22"/>
              </w:rPr>
            </w:pPr>
            <w:r>
              <w:rPr>
                <w:rFonts w:hint="eastAsia" w:ascii="仿宋" w:hAnsi="仿宋" w:eastAsia="仿宋"/>
                <w:sz w:val="22"/>
              </w:rPr>
              <w:t xml:space="preserve"> </w:t>
            </w:r>
            <w:r>
              <w:rPr>
                <w:rFonts w:ascii="仿宋" w:hAnsi="仿宋" w:eastAsia="仿宋"/>
                <w:sz w:val="22"/>
              </w:rPr>
              <w:t xml:space="preserve">         </w:t>
            </w:r>
            <w:r>
              <w:rPr>
                <w:rFonts w:hint="eastAsia" w:ascii="仿宋" w:hAnsi="仿宋" w:eastAsia="仿宋"/>
                <w:sz w:val="22"/>
              </w:rPr>
              <w:t xml:space="preserve">□“票付通”业务信息变更 </w:t>
            </w:r>
            <w:r>
              <w:rPr>
                <w:rFonts w:ascii="仿宋" w:hAnsi="仿宋" w:eastAsia="仿宋"/>
                <w:sz w:val="22"/>
              </w:rPr>
              <w:t xml:space="preserve">          </w:t>
            </w:r>
            <w:r>
              <w:rPr>
                <w:rFonts w:hint="eastAsia" w:ascii="仿宋" w:hAnsi="仿宋" w:eastAsia="仿宋"/>
                <w:sz w:val="22"/>
              </w:rPr>
              <w:t>□“供应链票据”业务信息变更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gridSpan w:val="2"/>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rPr>
              <w:t>变更事项联系人</w:t>
            </w:r>
          </w:p>
        </w:tc>
        <w:tc>
          <w:tcPr>
            <w:tcW w:w="1457" w:type="dxa"/>
            <w:gridSpan w:val="2"/>
            <w:tcBorders>
              <w:top w:val="single" w:color="auto" w:sz="4" w:space="0"/>
              <w:left w:val="single" w:color="auto" w:sz="4" w:space="0"/>
              <w:bottom w:val="double" w:color="auto" w:sz="4" w:space="0"/>
              <w:right w:val="single" w:color="auto" w:sz="4" w:space="0"/>
            </w:tcBorders>
          </w:tcPr>
          <w:p>
            <w:pPr>
              <w:spacing w:line="360" w:lineRule="auto"/>
              <w:rPr>
                <w:rFonts w:ascii="仿宋" w:hAnsi="仿宋" w:eastAsia="仿宋"/>
                <w:sz w:val="22"/>
              </w:rPr>
            </w:pPr>
          </w:p>
        </w:tc>
        <w:tc>
          <w:tcPr>
            <w:tcW w:w="1713" w:type="dxa"/>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rPr>
              <w:t>电话、</w:t>
            </w:r>
            <w:r>
              <w:rPr>
                <w:rFonts w:hint="eastAsia" w:ascii="仿宋" w:hAnsi="仿宋" w:eastAsia="仿宋"/>
                <w:sz w:val="22"/>
                <w:lang w:eastAsia="zh-CN"/>
              </w:rPr>
              <w:t>工作</w:t>
            </w:r>
            <w:r>
              <w:rPr>
                <w:rFonts w:hint="eastAsia" w:ascii="仿宋" w:hAnsi="仿宋" w:eastAsia="仿宋"/>
                <w:sz w:val="22"/>
              </w:rPr>
              <w:t>手机</w:t>
            </w:r>
          </w:p>
        </w:tc>
        <w:tc>
          <w:tcPr>
            <w:tcW w:w="1763" w:type="dxa"/>
            <w:gridSpan w:val="2"/>
            <w:tcBorders>
              <w:top w:val="single" w:color="auto" w:sz="4" w:space="0"/>
              <w:left w:val="single" w:color="auto" w:sz="4" w:space="0"/>
              <w:bottom w:val="double" w:color="auto" w:sz="4" w:space="0"/>
              <w:right w:val="single" w:color="auto" w:sz="4" w:space="0"/>
            </w:tcBorders>
          </w:tcPr>
          <w:p>
            <w:pPr>
              <w:spacing w:line="360" w:lineRule="auto"/>
              <w:rPr>
                <w:rFonts w:ascii="仿宋" w:hAnsi="仿宋" w:eastAsia="仿宋"/>
                <w:sz w:val="22"/>
              </w:rPr>
            </w:pPr>
          </w:p>
        </w:tc>
        <w:tc>
          <w:tcPr>
            <w:tcW w:w="1161" w:type="dxa"/>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lang w:eastAsia="zh-CN"/>
              </w:rPr>
              <w:t>工作</w:t>
            </w:r>
            <w:r>
              <w:rPr>
                <w:rFonts w:hint="eastAsia" w:ascii="仿宋" w:hAnsi="仿宋" w:eastAsia="仿宋"/>
                <w:sz w:val="22"/>
              </w:rPr>
              <w:t>邮箱</w:t>
            </w:r>
          </w:p>
        </w:tc>
        <w:tc>
          <w:tcPr>
            <w:tcW w:w="2019" w:type="dxa"/>
            <w:tcBorders>
              <w:top w:val="single" w:color="auto" w:sz="4" w:space="0"/>
              <w:left w:val="single" w:color="auto" w:sz="4" w:space="0"/>
              <w:bottom w:val="double" w:color="auto" w:sz="4" w:space="0"/>
              <w:right w:val="single" w:color="auto" w:sz="4" w:space="0"/>
            </w:tcBorders>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420" w:type="dxa"/>
            <w:gridSpan w:val="9"/>
            <w:tcBorders>
              <w:top w:val="double" w:color="auto" w:sz="4" w:space="0"/>
            </w:tcBorders>
            <w:shd w:val="clear" w:color="auto" w:fill="D8D8D8" w:themeFill="background1" w:themeFillShade="D9"/>
            <w:vAlign w:val="center"/>
          </w:tcPr>
          <w:p>
            <w:pPr>
              <w:jc w:val="center"/>
              <w:rPr>
                <w:rFonts w:ascii="黑体" w:hAnsi="黑体" w:eastAsia="黑体"/>
                <w:sz w:val="24"/>
              </w:rPr>
            </w:pPr>
            <w:r>
              <w:rPr>
                <w:rFonts w:hint="eastAsia" w:ascii="黑体" w:hAnsi="黑体" w:eastAsia="黑体"/>
                <w:sz w:val="24"/>
              </w:rPr>
              <w:t>法人机构信息变更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jc w:val="center"/>
        </w:trPr>
        <w:tc>
          <w:tcPr>
            <w:tcW w:w="2307" w:type="dxa"/>
            <w:gridSpan w:val="2"/>
          </w:tcPr>
          <w:p>
            <w:pPr>
              <w:spacing w:line="360" w:lineRule="auto"/>
              <w:jc w:val="center"/>
              <w:rPr>
                <w:rFonts w:ascii="仿宋" w:hAnsi="仿宋" w:eastAsia="仿宋"/>
                <w:sz w:val="22"/>
              </w:rPr>
            </w:pPr>
            <w:r>
              <w:rPr>
                <w:rFonts w:hint="eastAsia" w:ascii="仿宋" w:hAnsi="仿宋" w:eastAsia="仿宋"/>
                <w:sz w:val="22"/>
              </w:rPr>
              <w:t>变更要素</w:t>
            </w:r>
          </w:p>
        </w:tc>
        <w:tc>
          <w:tcPr>
            <w:tcW w:w="3593" w:type="dxa"/>
            <w:gridSpan w:val="4"/>
          </w:tcPr>
          <w:p>
            <w:pPr>
              <w:spacing w:line="360" w:lineRule="auto"/>
              <w:jc w:val="center"/>
              <w:rPr>
                <w:rFonts w:ascii="仿宋" w:hAnsi="仿宋" w:eastAsia="仿宋"/>
                <w:sz w:val="22"/>
              </w:rPr>
            </w:pPr>
            <w:r>
              <w:rPr>
                <w:rFonts w:hint="eastAsia" w:ascii="仿宋" w:hAnsi="仿宋" w:eastAsia="仿宋"/>
                <w:sz w:val="22"/>
              </w:rPr>
              <w:t>变更前</w:t>
            </w:r>
          </w:p>
        </w:tc>
        <w:tc>
          <w:tcPr>
            <w:tcW w:w="4520" w:type="dxa"/>
            <w:gridSpan w:val="3"/>
          </w:tcPr>
          <w:p>
            <w:pPr>
              <w:spacing w:line="360" w:lineRule="auto"/>
              <w:jc w:val="center"/>
              <w:rPr>
                <w:rFonts w:ascii="仿宋" w:hAnsi="仿宋" w:eastAsia="仿宋"/>
                <w:sz w:val="22"/>
              </w:rPr>
            </w:pPr>
            <w:r>
              <w:rPr>
                <w:rFonts w:hint="eastAsia" w:ascii="仿宋" w:hAnsi="仿宋" w:eastAsia="仿宋"/>
                <w:sz w:val="22"/>
              </w:rPr>
              <w:t>变更后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2307" w:type="dxa"/>
            <w:gridSpan w:val="2"/>
          </w:tcPr>
          <w:p>
            <w:pPr>
              <w:spacing w:line="360" w:lineRule="auto"/>
              <w:jc w:val="left"/>
              <w:rPr>
                <w:rFonts w:ascii="仿宋" w:hAnsi="仿宋" w:eastAsia="仿宋"/>
                <w:sz w:val="22"/>
              </w:rPr>
            </w:pPr>
            <w:r>
              <w:rPr>
                <w:rFonts w:hint="eastAsia" w:ascii="仿宋" w:hAnsi="仿宋" w:eastAsia="仿宋"/>
                <w:sz w:val="22"/>
              </w:rPr>
              <w:t>□统一社会信用代码</w:t>
            </w:r>
          </w:p>
        </w:tc>
        <w:tc>
          <w:tcPr>
            <w:tcW w:w="3593" w:type="dxa"/>
            <w:gridSpan w:val="4"/>
          </w:tcPr>
          <w:p>
            <w:pPr>
              <w:spacing w:line="360" w:lineRule="auto"/>
              <w:rPr>
                <w:rFonts w:ascii="仿宋" w:hAnsi="仿宋" w:eastAsia="仿宋"/>
                <w:sz w:val="22"/>
              </w:rPr>
            </w:pPr>
          </w:p>
        </w:tc>
        <w:tc>
          <w:tcPr>
            <w:tcW w:w="4520" w:type="dxa"/>
            <w:gridSpan w:val="3"/>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2307" w:type="dxa"/>
            <w:gridSpan w:val="2"/>
          </w:tcPr>
          <w:p>
            <w:pPr>
              <w:spacing w:line="360" w:lineRule="auto"/>
              <w:jc w:val="left"/>
              <w:rPr>
                <w:rFonts w:ascii="仿宋" w:hAnsi="仿宋" w:eastAsia="仿宋"/>
                <w:sz w:val="22"/>
              </w:rPr>
            </w:pPr>
            <w:r>
              <w:rPr>
                <w:rFonts w:hint="eastAsia" w:ascii="仿宋" w:hAnsi="仿宋" w:eastAsia="仿宋"/>
                <w:sz w:val="22"/>
              </w:rPr>
              <w:t>□通讯地址</w:t>
            </w:r>
          </w:p>
        </w:tc>
        <w:tc>
          <w:tcPr>
            <w:tcW w:w="3593" w:type="dxa"/>
            <w:gridSpan w:val="4"/>
          </w:tcPr>
          <w:p>
            <w:pPr>
              <w:spacing w:line="360" w:lineRule="auto"/>
              <w:rPr>
                <w:rFonts w:ascii="仿宋" w:hAnsi="仿宋" w:eastAsia="仿宋"/>
                <w:sz w:val="22"/>
              </w:rPr>
            </w:pPr>
          </w:p>
        </w:tc>
        <w:tc>
          <w:tcPr>
            <w:tcW w:w="4520" w:type="dxa"/>
            <w:gridSpan w:val="3"/>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2307" w:type="dxa"/>
            <w:gridSpan w:val="2"/>
            <w:vMerge w:val="restart"/>
            <w:vAlign w:val="center"/>
          </w:tcPr>
          <w:p>
            <w:pPr>
              <w:spacing w:line="360" w:lineRule="auto"/>
              <w:jc w:val="left"/>
              <w:rPr>
                <w:rFonts w:ascii="仿宋" w:hAnsi="仿宋" w:eastAsia="仿宋"/>
                <w:sz w:val="22"/>
              </w:rPr>
            </w:pPr>
            <w:r>
              <w:rPr>
                <w:rFonts w:hint="eastAsia" w:ascii="仿宋" w:hAnsi="仿宋" w:eastAsia="仿宋"/>
                <w:sz w:val="22"/>
              </w:rPr>
              <w:t>□机构代表</w:t>
            </w:r>
          </w:p>
          <w:p>
            <w:pPr>
              <w:spacing w:line="360" w:lineRule="auto"/>
              <w:jc w:val="left"/>
              <w:rPr>
                <w:rFonts w:ascii="仿宋" w:hAnsi="仿宋" w:eastAsia="仿宋"/>
                <w:sz w:val="22"/>
              </w:rPr>
            </w:pPr>
            <w:r>
              <w:rPr>
                <w:rFonts w:hint="eastAsia" w:ascii="仿宋" w:hAnsi="仿宋" w:eastAsia="仿宋"/>
                <w:sz w:val="22"/>
              </w:rPr>
              <w:t>□业务联络员</w:t>
            </w:r>
          </w:p>
        </w:tc>
        <w:tc>
          <w:tcPr>
            <w:tcW w:w="3593" w:type="dxa"/>
            <w:gridSpan w:val="4"/>
          </w:tcPr>
          <w:p>
            <w:pPr>
              <w:spacing w:line="360" w:lineRule="auto"/>
              <w:rPr>
                <w:rFonts w:ascii="仿宋" w:hAnsi="仿宋" w:eastAsia="仿宋"/>
                <w:sz w:val="22"/>
              </w:rPr>
            </w:pPr>
            <w:r>
              <w:rPr>
                <w:rFonts w:hint="eastAsia" w:ascii="仿宋" w:hAnsi="仿宋" w:eastAsia="仿宋"/>
                <w:sz w:val="22"/>
              </w:rPr>
              <w:t>姓名：</w:t>
            </w:r>
          </w:p>
        </w:tc>
        <w:tc>
          <w:tcPr>
            <w:tcW w:w="4520" w:type="dxa"/>
            <w:gridSpan w:val="3"/>
          </w:tcPr>
          <w:p>
            <w:pPr>
              <w:spacing w:line="360" w:lineRule="auto"/>
              <w:rPr>
                <w:rFonts w:ascii="仿宋" w:hAnsi="仿宋" w:eastAsia="仿宋"/>
                <w:sz w:val="22"/>
              </w:rPr>
            </w:pPr>
            <w:r>
              <w:rPr>
                <w:rFonts w:hint="eastAsia" w:ascii="仿宋" w:hAnsi="仿宋" w:eastAsia="仿宋"/>
                <w:sz w:val="22"/>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2307" w:type="dxa"/>
            <w:gridSpan w:val="2"/>
            <w:vMerge w:val="continue"/>
          </w:tcPr>
          <w:p>
            <w:pPr>
              <w:spacing w:line="360" w:lineRule="auto"/>
              <w:jc w:val="left"/>
              <w:rPr>
                <w:rFonts w:ascii="仿宋" w:hAnsi="仿宋" w:eastAsia="仿宋"/>
                <w:sz w:val="22"/>
              </w:rPr>
            </w:pPr>
          </w:p>
        </w:tc>
        <w:tc>
          <w:tcPr>
            <w:tcW w:w="3593" w:type="dxa"/>
            <w:gridSpan w:val="4"/>
          </w:tcPr>
          <w:p>
            <w:pPr>
              <w:spacing w:line="360" w:lineRule="auto"/>
              <w:rPr>
                <w:rFonts w:ascii="仿宋" w:hAnsi="仿宋" w:eastAsia="仿宋"/>
                <w:sz w:val="22"/>
              </w:rPr>
            </w:pPr>
            <w:r>
              <w:rPr>
                <w:rFonts w:hint="eastAsia" w:ascii="仿宋" w:hAnsi="仿宋" w:eastAsia="仿宋"/>
                <w:sz w:val="22"/>
              </w:rPr>
              <w:t>部门、职务：</w:t>
            </w:r>
          </w:p>
        </w:tc>
        <w:tc>
          <w:tcPr>
            <w:tcW w:w="4520" w:type="dxa"/>
            <w:gridSpan w:val="3"/>
          </w:tcPr>
          <w:p>
            <w:pPr>
              <w:spacing w:line="360" w:lineRule="auto"/>
              <w:rPr>
                <w:rFonts w:ascii="仿宋" w:hAnsi="仿宋" w:eastAsia="仿宋"/>
                <w:sz w:val="22"/>
              </w:rPr>
            </w:pPr>
            <w:r>
              <w:rPr>
                <w:rFonts w:hint="eastAsia" w:ascii="仿宋" w:hAnsi="仿宋" w:eastAsia="仿宋"/>
                <w:sz w:val="22"/>
              </w:rPr>
              <w:t>部门、职务：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2307" w:type="dxa"/>
            <w:gridSpan w:val="2"/>
            <w:vMerge w:val="continue"/>
          </w:tcPr>
          <w:p>
            <w:pPr>
              <w:spacing w:line="360" w:lineRule="auto"/>
              <w:jc w:val="left"/>
              <w:rPr>
                <w:rFonts w:ascii="仿宋" w:hAnsi="仿宋" w:eastAsia="仿宋"/>
                <w:sz w:val="22"/>
              </w:rPr>
            </w:pPr>
          </w:p>
        </w:tc>
        <w:tc>
          <w:tcPr>
            <w:tcW w:w="3593" w:type="dxa"/>
            <w:gridSpan w:val="4"/>
          </w:tcPr>
          <w:p>
            <w:pPr>
              <w:spacing w:line="360" w:lineRule="auto"/>
              <w:rPr>
                <w:rFonts w:ascii="仿宋" w:hAnsi="仿宋" w:eastAsia="仿宋"/>
                <w:sz w:val="22"/>
              </w:rPr>
            </w:pPr>
            <w:r>
              <w:rPr>
                <w:rFonts w:hint="eastAsia" w:ascii="仿宋" w:hAnsi="仿宋" w:eastAsia="仿宋"/>
                <w:sz w:val="22"/>
              </w:rPr>
              <w:t>座机、</w:t>
            </w:r>
            <w:r>
              <w:rPr>
                <w:rFonts w:hint="eastAsia" w:ascii="仿宋" w:hAnsi="仿宋" w:eastAsia="仿宋"/>
                <w:sz w:val="22"/>
                <w:lang w:eastAsia="zh-CN"/>
              </w:rPr>
              <w:t>工作</w:t>
            </w:r>
            <w:r>
              <w:rPr>
                <w:rFonts w:hint="eastAsia" w:ascii="仿宋" w:hAnsi="仿宋" w:eastAsia="仿宋"/>
                <w:sz w:val="22"/>
              </w:rPr>
              <w:t>手机：</w:t>
            </w:r>
          </w:p>
        </w:tc>
        <w:tc>
          <w:tcPr>
            <w:tcW w:w="4520" w:type="dxa"/>
            <w:gridSpan w:val="3"/>
          </w:tcPr>
          <w:p>
            <w:pPr>
              <w:spacing w:line="360" w:lineRule="auto"/>
              <w:rPr>
                <w:rFonts w:ascii="仿宋" w:hAnsi="仿宋" w:eastAsia="仿宋"/>
                <w:sz w:val="22"/>
              </w:rPr>
            </w:pPr>
            <w:r>
              <w:rPr>
                <w:rFonts w:hint="eastAsia" w:ascii="仿宋" w:hAnsi="仿宋" w:eastAsia="仿宋"/>
                <w:sz w:val="22"/>
              </w:rPr>
              <w:t>座机、</w:t>
            </w:r>
            <w:r>
              <w:rPr>
                <w:rFonts w:hint="eastAsia" w:ascii="仿宋" w:hAnsi="仿宋" w:eastAsia="仿宋"/>
                <w:sz w:val="22"/>
                <w:lang w:eastAsia="zh-CN"/>
              </w:rPr>
              <w:t>工作</w:t>
            </w:r>
            <w:r>
              <w:rPr>
                <w:rFonts w:hint="eastAsia" w:ascii="仿宋" w:hAnsi="仿宋" w:eastAsia="仿宋"/>
                <w:sz w:val="22"/>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2307" w:type="dxa"/>
            <w:gridSpan w:val="2"/>
            <w:vMerge w:val="continue"/>
          </w:tcPr>
          <w:p>
            <w:pPr>
              <w:spacing w:line="360" w:lineRule="auto"/>
              <w:jc w:val="left"/>
              <w:rPr>
                <w:rFonts w:ascii="仿宋" w:hAnsi="仿宋" w:eastAsia="仿宋"/>
                <w:sz w:val="22"/>
              </w:rPr>
            </w:pPr>
          </w:p>
        </w:tc>
        <w:tc>
          <w:tcPr>
            <w:tcW w:w="3593" w:type="dxa"/>
            <w:gridSpan w:val="4"/>
          </w:tcPr>
          <w:p>
            <w:pPr>
              <w:spacing w:line="360" w:lineRule="auto"/>
              <w:rPr>
                <w:rFonts w:ascii="仿宋" w:hAnsi="仿宋" w:eastAsia="仿宋"/>
                <w:sz w:val="22"/>
              </w:rPr>
            </w:pPr>
            <w:r>
              <w:rPr>
                <w:rFonts w:hint="eastAsia" w:ascii="仿宋" w:hAnsi="仿宋" w:eastAsia="仿宋"/>
                <w:sz w:val="22"/>
                <w:lang w:eastAsia="zh-CN"/>
              </w:rPr>
              <w:t>工作</w:t>
            </w:r>
            <w:r>
              <w:rPr>
                <w:rFonts w:hint="eastAsia" w:ascii="仿宋" w:hAnsi="仿宋" w:eastAsia="仿宋"/>
                <w:sz w:val="22"/>
              </w:rPr>
              <w:t>邮箱：</w:t>
            </w:r>
          </w:p>
        </w:tc>
        <w:tc>
          <w:tcPr>
            <w:tcW w:w="4520" w:type="dxa"/>
            <w:gridSpan w:val="3"/>
          </w:tcPr>
          <w:p>
            <w:pPr>
              <w:spacing w:line="360" w:lineRule="auto"/>
              <w:rPr>
                <w:rFonts w:ascii="仿宋" w:hAnsi="仿宋" w:eastAsia="仿宋"/>
                <w:sz w:val="22"/>
              </w:rPr>
            </w:pPr>
            <w:r>
              <w:rPr>
                <w:rFonts w:hint="eastAsia" w:ascii="仿宋" w:hAnsi="仿宋" w:eastAsia="仿宋"/>
                <w:sz w:val="22"/>
                <w:lang w:eastAsia="zh-CN"/>
              </w:rPr>
              <w:t>工作</w:t>
            </w:r>
            <w:r>
              <w:rPr>
                <w:rFonts w:hint="eastAsia" w:ascii="仿宋" w:hAnsi="仿宋" w:eastAsia="仿宋"/>
                <w:sz w:val="22"/>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7" w:hRule="atLeast"/>
          <w:jc w:val="center"/>
        </w:trPr>
        <w:tc>
          <w:tcPr>
            <w:tcW w:w="2307" w:type="dxa"/>
            <w:gridSpan w:val="2"/>
            <w:vAlign w:val="center"/>
          </w:tcPr>
          <w:p>
            <w:pPr>
              <w:spacing w:line="360" w:lineRule="auto"/>
              <w:jc w:val="left"/>
              <w:rPr>
                <w:rFonts w:ascii="仿宋" w:hAnsi="仿宋" w:eastAsia="仿宋"/>
                <w:sz w:val="22"/>
              </w:rPr>
            </w:pPr>
            <w:r>
              <w:rPr>
                <w:rFonts w:hint="eastAsia" w:ascii="仿宋" w:hAnsi="仿宋" w:eastAsia="仿宋"/>
                <w:sz w:val="22"/>
              </w:rPr>
              <w:t>□常规业务印鉴</w:t>
            </w:r>
          </w:p>
          <w:p>
            <w:pPr>
              <w:spacing w:line="360" w:lineRule="auto"/>
              <w:jc w:val="left"/>
              <w:rPr>
                <w:rFonts w:ascii="仿宋" w:hAnsi="仿宋" w:eastAsia="仿宋"/>
                <w:sz w:val="22"/>
              </w:rPr>
            </w:pPr>
            <w:r>
              <w:rPr>
                <w:rFonts w:hint="eastAsia" w:ascii="仿宋" w:hAnsi="仿宋" w:eastAsia="仿宋"/>
                <w:sz w:val="22"/>
              </w:rPr>
              <w:t>□应急业务印鉴</w:t>
            </w:r>
          </w:p>
        </w:tc>
        <w:tc>
          <w:tcPr>
            <w:tcW w:w="3593" w:type="dxa"/>
            <w:gridSpan w:val="4"/>
          </w:tcPr>
          <w:p>
            <w:pPr>
              <w:spacing w:line="360" w:lineRule="auto"/>
              <w:rPr>
                <w:rFonts w:ascii="仿宋" w:hAnsi="仿宋" w:eastAsia="仿宋"/>
                <w:sz w:val="22"/>
              </w:rPr>
            </w:pPr>
          </w:p>
        </w:tc>
        <w:tc>
          <w:tcPr>
            <w:tcW w:w="4520" w:type="dxa"/>
            <w:gridSpan w:val="3"/>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1" w:hRule="atLeast"/>
          <w:jc w:val="center"/>
        </w:trPr>
        <w:tc>
          <w:tcPr>
            <w:tcW w:w="2307" w:type="dxa"/>
            <w:gridSpan w:val="2"/>
            <w:vAlign w:val="center"/>
          </w:tcPr>
          <w:p>
            <w:pPr>
              <w:spacing w:line="360" w:lineRule="auto"/>
              <w:jc w:val="left"/>
              <w:rPr>
                <w:rFonts w:ascii="仿宋" w:hAnsi="仿宋" w:eastAsia="仿宋"/>
                <w:sz w:val="22"/>
              </w:rPr>
            </w:pPr>
            <w:r>
              <w:rPr>
                <w:rFonts w:hint="eastAsia" w:ascii="仿宋" w:hAnsi="仿宋" w:eastAsia="仿宋"/>
                <w:sz w:val="22"/>
              </w:rPr>
              <w:t>□资金账户</w:t>
            </w:r>
          </w:p>
        </w:tc>
        <w:tc>
          <w:tcPr>
            <w:tcW w:w="3593" w:type="dxa"/>
            <w:gridSpan w:val="4"/>
            <w:vAlign w:val="center"/>
          </w:tcPr>
          <w:p>
            <w:pPr>
              <w:spacing w:line="360" w:lineRule="auto"/>
              <w:rPr>
                <w:rFonts w:ascii="仿宋" w:hAnsi="仿宋" w:eastAsia="仿宋"/>
                <w:sz w:val="22"/>
              </w:rPr>
            </w:pPr>
            <w:r>
              <w:rPr>
                <w:rFonts w:hint="eastAsia" w:ascii="仿宋" w:hAnsi="仿宋" w:eastAsia="仿宋"/>
                <w:sz w:val="22"/>
              </w:rPr>
              <w:t>□使用本机构的人行清算账户</w:t>
            </w:r>
          </w:p>
          <w:p>
            <w:pPr>
              <w:spacing w:line="360" w:lineRule="auto"/>
              <w:rPr>
                <w:rFonts w:ascii="仿宋" w:hAnsi="仿宋" w:eastAsia="仿宋"/>
                <w:sz w:val="22"/>
              </w:rPr>
            </w:pPr>
          </w:p>
          <w:p>
            <w:pPr>
              <w:spacing w:line="360" w:lineRule="auto"/>
              <w:rPr>
                <w:rFonts w:ascii="仿宋" w:hAnsi="仿宋" w:eastAsia="仿宋"/>
                <w:sz w:val="22"/>
              </w:rPr>
            </w:pPr>
            <w:r>
              <w:rPr>
                <w:rFonts w:hint="eastAsia" w:ascii="仿宋" w:hAnsi="仿宋" w:eastAsia="仿宋"/>
                <w:sz w:val="22"/>
              </w:rPr>
              <w:t>□使用会员资金账户</w:t>
            </w:r>
          </w:p>
        </w:tc>
        <w:tc>
          <w:tcPr>
            <w:tcW w:w="4520" w:type="dxa"/>
            <w:gridSpan w:val="3"/>
            <w:vAlign w:val="center"/>
          </w:tcPr>
          <w:p>
            <w:pPr>
              <w:spacing w:line="360" w:lineRule="auto"/>
              <w:rPr>
                <w:rFonts w:ascii="仿宋" w:hAnsi="仿宋" w:eastAsia="仿宋"/>
                <w:sz w:val="22"/>
              </w:rPr>
            </w:pPr>
            <w:r>
              <w:rPr>
                <w:rFonts w:hint="eastAsia" w:ascii="仿宋" w:hAnsi="仿宋" w:eastAsia="仿宋"/>
                <w:sz w:val="22"/>
              </w:rPr>
              <w:t>□使用本机构的人行清算账户</w:t>
            </w:r>
          </w:p>
          <w:p>
            <w:pPr>
              <w:spacing w:line="360" w:lineRule="auto"/>
              <w:ind w:firstLine="220" w:firstLineChars="100"/>
              <w:rPr>
                <w:rFonts w:ascii="仿宋" w:hAnsi="仿宋" w:eastAsia="仿宋"/>
                <w:sz w:val="22"/>
              </w:rPr>
            </w:pPr>
            <w:r>
              <w:rPr>
                <w:rFonts w:hint="eastAsia" w:ascii="仿宋" w:hAnsi="仿宋" w:eastAsia="仿宋"/>
                <w:sz w:val="22"/>
              </w:rPr>
              <w:t>大额行名：</w:t>
            </w:r>
            <w:r>
              <w:rPr>
                <w:rFonts w:hint="eastAsia" w:ascii="仿宋" w:hAnsi="仿宋" w:eastAsia="仿宋"/>
                <w:sz w:val="22"/>
                <w:u w:val="single"/>
              </w:rPr>
              <w:t xml:space="preserve"> </w:t>
            </w:r>
            <w:r>
              <w:rPr>
                <w:rFonts w:ascii="仿宋" w:hAnsi="仿宋" w:eastAsia="仿宋"/>
                <w:sz w:val="22"/>
                <w:u w:val="single"/>
              </w:rPr>
              <w:t xml:space="preserve">                        </w:t>
            </w:r>
          </w:p>
          <w:p>
            <w:pPr>
              <w:spacing w:line="360" w:lineRule="auto"/>
              <w:ind w:firstLine="220" w:firstLineChars="100"/>
              <w:rPr>
                <w:rFonts w:ascii="仿宋" w:hAnsi="仿宋" w:eastAsia="仿宋"/>
                <w:sz w:val="22"/>
                <w:u w:val="single"/>
              </w:rPr>
            </w:pPr>
            <w:r>
              <w:rPr>
                <w:rFonts w:hint="eastAsia" w:ascii="仿宋" w:hAnsi="仿宋" w:eastAsia="仿宋"/>
                <w:sz w:val="22"/>
              </w:rPr>
              <w:t>大额行号：</w:t>
            </w:r>
            <w:r>
              <w:rPr>
                <w:rFonts w:hint="eastAsia" w:ascii="仿宋" w:hAnsi="仿宋" w:eastAsia="仿宋"/>
                <w:sz w:val="22"/>
                <w:u w:val="single"/>
              </w:rPr>
              <w:t xml:space="preserve"> </w:t>
            </w:r>
            <w:r>
              <w:rPr>
                <w:rFonts w:ascii="仿宋" w:hAnsi="仿宋" w:eastAsia="仿宋"/>
                <w:sz w:val="22"/>
                <w:u w:val="single"/>
              </w:rPr>
              <w:t xml:space="preserve">                        </w:t>
            </w:r>
          </w:p>
          <w:p>
            <w:pPr>
              <w:spacing w:line="360" w:lineRule="auto"/>
              <w:rPr>
                <w:rFonts w:ascii="仿宋" w:hAnsi="仿宋" w:eastAsia="仿宋"/>
                <w:sz w:val="22"/>
              </w:rPr>
            </w:pPr>
            <w:r>
              <w:rPr>
                <w:rFonts w:hint="eastAsia" w:ascii="仿宋" w:hAnsi="仿宋" w:eastAsia="仿宋"/>
                <w:sz w:val="22"/>
              </w:rPr>
              <w:t>□使用会员资金账户 /</w:t>
            </w:r>
            <w:r>
              <w:rPr>
                <w:rFonts w:ascii="仿宋" w:hAnsi="仿宋" w:eastAsia="仿宋"/>
                <w:sz w:val="22"/>
              </w:rPr>
              <w:t xml:space="preserve"> </w:t>
            </w:r>
            <w:r>
              <w:rPr>
                <w:rFonts w:hint="eastAsia" w:ascii="仿宋" w:hAnsi="仿宋" w:eastAsia="仿宋"/>
                <w:sz w:val="22"/>
              </w:rPr>
              <w:t>□出金账户变更</w:t>
            </w:r>
          </w:p>
          <w:p>
            <w:pPr>
              <w:spacing w:line="360" w:lineRule="auto"/>
              <w:ind w:firstLine="220" w:firstLineChars="100"/>
              <w:rPr>
                <w:rFonts w:ascii="仿宋" w:hAnsi="仿宋" w:eastAsia="仿宋"/>
                <w:sz w:val="22"/>
              </w:rPr>
            </w:pPr>
            <w:r>
              <w:rPr>
                <w:rFonts w:hint="eastAsia" w:ascii="仿宋" w:hAnsi="仿宋" w:eastAsia="仿宋"/>
                <w:sz w:val="22"/>
              </w:rPr>
              <w:t>出金账户名称：</w:t>
            </w:r>
            <w:r>
              <w:rPr>
                <w:rFonts w:hint="eastAsia" w:ascii="仿宋" w:hAnsi="仿宋" w:eastAsia="仿宋"/>
                <w:sz w:val="22"/>
                <w:u w:val="single"/>
              </w:rPr>
              <w:t xml:space="preserve"> </w:t>
            </w:r>
            <w:r>
              <w:rPr>
                <w:rFonts w:ascii="仿宋" w:hAnsi="仿宋" w:eastAsia="仿宋"/>
                <w:sz w:val="22"/>
                <w:u w:val="single"/>
              </w:rPr>
              <w:t xml:space="preserve">                    </w:t>
            </w:r>
          </w:p>
          <w:p>
            <w:pPr>
              <w:spacing w:line="360" w:lineRule="auto"/>
              <w:ind w:firstLine="220" w:firstLineChars="100"/>
              <w:rPr>
                <w:rFonts w:ascii="仿宋" w:hAnsi="仿宋" w:eastAsia="仿宋"/>
                <w:sz w:val="22"/>
              </w:rPr>
            </w:pPr>
            <w:r>
              <w:rPr>
                <w:rFonts w:hint="eastAsia" w:ascii="仿宋" w:hAnsi="仿宋" w:eastAsia="仿宋"/>
                <w:sz w:val="22"/>
              </w:rPr>
              <w:t>出金账户账号：</w:t>
            </w:r>
            <w:r>
              <w:rPr>
                <w:rFonts w:hint="eastAsia" w:ascii="仿宋" w:hAnsi="仿宋" w:eastAsia="仿宋"/>
                <w:sz w:val="22"/>
                <w:u w:val="single"/>
              </w:rPr>
              <w:t xml:space="preserve"> </w:t>
            </w:r>
            <w:r>
              <w:rPr>
                <w:rFonts w:ascii="仿宋" w:hAnsi="仿宋" w:eastAsia="仿宋"/>
                <w:sz w:val="22"/>
                <w:u w:val="single"/>
              </w:rPr>
              <w:t xml:space="preserve">                    </w:t>
            </w:r>
          </w:p>
          <w:p>
            <w:pPr>
              <w:spacing w:line="360" w:lineRule="auto"/>
              <w:ind w:firstLine="220" w:firstLineChars="100"/>
              <w:rPr>
                <w:rFonts w:ascii="仿宋" w:hAnsi="仿宋" w:eastAsia="仿宋"/>
                <w:sz w:val="22"/>
              </w:rPr>
            </w:pPr>
            <w:r>
              <w:rPr>
                <w:rFonts w:hint="eastAsia" w:ascii="仿宋" w:hAnsi="仿宋" w:eastAsia="仿宋"/>
                <w:sz w:val="22"/>
              </w:rPr>
              <w:t>开户行行名：</w:t>
            </w:r>
            <w:r>
              <w:rPr>
                <w:rFonts w:hint="eastAsia" w:ascii="仿宋" w:hAnsi="仿宋" w:eastAsia="仿宋"/>
                <w:sz w:val="22"/>
                <w:u w:val="single"/>
              </w:rPr>
              <w:t xml:space="preserve"> </w:t>
            </w:r>
            <w:r>
              <w:rPr>
                <w:rFonts w:ascii="仿宋" w:hAnsi="仿宋" w:eastAsia="仿宋"/>
                <w:sz w:val="22"/>
                <w:u w:val="single"/>
              </w:rPr>
              <w:t xml:space="preserve">                      </w:t>
            </w:r>
          </w:p>
          <w:p>
            <w:pPr>
              <w:spacing w:line="360" w:lineRule="auto"/>
              <w:ind w:firstLine="220" w:firstLineChars="100"/>
              <w:rPr>
                <w:rFonts w:ascii="仿宋" w:hAnsi="仿宋" w:eastAsia="仿宋"/>
                <w:sz w:val="22"/>
              </w:rPr>
            </w:pPr>
            <w:r>
              <w:rPr>
                <w:rFonts w:hint="eastAsia" w:ascii="仿宋" w:hAnsi="仿宋" w:eastAsia="仿宋"/>
                <w:sz w:val="22"/>
              </w:rPr>
              <w:t>开户行行号：</w:t>
            </w:r>
            <w:r>
              <w:rPr>
                <w:rFonts w:hint="eastAsia" w:ascii="仿宋" w:hAnsi="仿宋" w:eastAsia="仿宋"/>
                <w:sz w:val="22"/>
                <w:u w:val="single"/>
              </w:rPr>
              <w:t xml:space="preserve"> </w:t>
            </w:r>
            <w:r>
              <w:rPr>
                <w:rFonts w:ascii="仿宋" w:hAnsi="仿宋" w:eastAsia="仿宋"/>
                <w:sz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gridSpan w:val="2"/>
            <w:vAlign w:val="center"/>
          </w:tcPr>
          <w:p>
            <w:pPr>
              <w:spacing w:line="360" w:lineRule="auto"/>
              <w:rPr>
                <w:rFonts w:ascii="仿宋" w:hAnsi="仿宋" w:eastAsia="仿宋"/>
                <w:sz w:val="22"/>
              </w:rPr>
            </w:pPr>
            <w:r>
              <w:rPr>
                <w:rFonts w:hint="eastAsia" w:ascii="仿宋" w:hAnsi="仿宋" w:eastAsia="仿宋"/>
                <w:sz w:val="22"/>
              </w:rPr>
              <w:t>□所属大额直参</w:t>
            </w:r>
          </w:p>
        </w:tc>
        <w:tc>
          <w:tcPr>
            <w:tcW w:w="3593" w:type="dxa"/>
            <w:gridSpan w:val="4"/>
            <w:vAlign w:val="center"/>
          </w:tcPr>
          <w:p>
            <w:pPr>
              <w:spacing w:line="360" w:lineRule="auto"/>
              <w:rPr>
                <w:rFonts w:ascii="仿宋" w:hAnsi="仿宋" w:eastAsia="仿宋"/>
                <w:sz w:val="22"/>
              </w:rPr>
            </w:pPr>
            <w:r>
              <w:rPr>
                <w:rFonts w:hint="eastAsia" w:ascii="仿宋" w:hAnsi="仿宋" w:eastAsia="仿宋"/>
                <w:sz w:val="22"/>
              </w:rPr>
              <w:t>□大额直参行号：</w:t>
            </w:r>
            <w:r>
              <w:rPr>
                <w:rFonts w:ascii="仿宋" w:hAnsi="仿宋" w:eastAsia="仿宋"/>
                <w:sz w:val="22"/>
                <w:u w:val="single"/>
              </w:rPr>
              <w:t xml:space="preserve">           </w:t>
            </w:r>
            <w:r>
              <w:rPr>
                <w:rFonts w:hint="eastAsia" w:ascii="仿宋" w:hAnsi="仿宋" w:eastAsia="仿宋"/>
                <w:sz w:val="22"/>
                <w:u w:val="single"/>
              </w:rPr>
              <w:t xml:space="preserve"> </w:t>
            </w:r>
            <w:r>
              <w:rPr>
                <w:rFonts w:ascii="仿宋" w:hAnsi="仿宋" w:eastAsia="仿宋"/>
                <w:sz w:val="22"/>
                <w:u w:val="single"/>
              </w:rPr>
              <w:t xml:space="preserve"> </w:t>
            </w:r>
          </w:p>
        </w:tc>
        <w:tc>
          <w:tcPr>
            <w:tcW w:w="4520" w:type="dxa"/>
            <w:gridSpan w:val="3"/>
          </w:tcPr>
          <w:p>
            <w:pPr>
              <w:spacing w:line="360" w:lineRule="auto"/>
              <w:rPr>
                <w:rFonts w:ascii="仿宋" w:hAnsi="仿宋" w:eastAsia="仿宋"/>
                <w:sz w:val="22"/>
              </w:rPr>
            </w:pPr>
            <w:r>
              <w:rPr>
                <w:rFonts w:hint="eastAsia" w:ascii="仿宋" w:hAnsi="仿宋" w:eastAsia="仿宋"/>
                <w:sz w:val="22"/>
              </w:rPr>
              <w:t>□大额直参行号：</w:t>
            </w:r>
            <w:r>
              <w:rPr>
                <w:rFonts w:ascii="仿宋" w:hAnsi="仿宋" w:eastAsia="仿宋"/>
                <w:sz w:val="22"/>
                <w:u w:val="single"/>
              </w:rPr>
              <w:t xml:space="preserve">                     </w:t>
            </w:r>
          </w:p>
          <w:p>
            <w:pPr>
              <w:spacing w:line="360" w:lineRule="auto"/>
              <w:ind w:firstLine="220" w:firstLineChars="100"/>
              <w:rPr>
                <w:rFonts w:ascii="仿宋" w:hAnsi="仿宋" w:eastAsia="仿宋"/>
                <w:sz w:val="22"/>
              </w:rPr>
            </w:pPr>
            <w:r>
              <w:rPr>
                <w:rFonts w:hint="eastAsia" w:ascii="仿宋" w:hAnsi="仿宋" w:eastAsia="仿宋"/>
                <w:sz w:val="22"/>
              </w:rPr>
              <w:t>□已获得直参授权（请提供新授权书）</w:t>
            </w:r>
          </w:p>
          <w:p>
            <w:pPr>
              <w:spacing w:line="360" w:lineRule="auto"/>
              <w:ind w:firstLine="220" w:firstLineChars="100"/>
              <w:rPr>
                <w:rFonts w:ascii="仿宋" w:hAnsi="仿宋" w:eastAsia="仿宋"/>
                <w:sz w:val="22"/>
              </w:rPr>
            </w:pPr>
            <w:r>
              <w:rPr>
                <w:rFonts w:hint="eastAsia" w:ascii="仿宋" w:hAnsi="仿宋" w:eastAsia="仿宋"/>
                <w:sz w:val="22"/>
              </w:rPr>
              <w:t>□未获得直参授权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307" w:type="dxa"/>
            <w:gridSpan w:val="2"/>
            <w:vAlign w:val="center"/>
          </w:tcPr>
          <w:p>
            <w:pPr>
              <w:spacing w:line="360" w:lineRule="auto"/>
              <w:rPr>
                <w:rFonts w:ascii="仿宋" w:hAnsi="仿宋" w:eastAsia="仿宋"/>
                <w:sz w:val="22"/>
              </w:rPr>
            </w:pPr>
            <w:r>
              <w:rPr>
                <w:rFonts w:hint="eastAsia" w:ascii="仿宋" w:hAnsi="仿宋" w:eastAsia="仿宋"/>
                <w:sz w:val="22"/>
              </w:rPr>
              <w:t>□批量清算</w:t>
            </w:r>
          </w:p>
        </w:tc>
        <w:tc>
          <w:tcPr>
            <w:tcW w:w="3593" w:type="dxa"/>
            <w:gridSpan w:val="4"/>
            <w:vAlign w:val="center"/>
          </w:tcPr>
          <w:p>
            <w:pPr>
              <w:spacing w:line="360" w:lineRule="auto"/>
              <w:rPr>
                <w:rFonts w:ascii="仿宋" w:hAnsi="仿宋" w:eastAsia="仿宋"/>
                <w:sz w:val="22"/>
              </w:rPr>
            </w:pPr>
            <w:r>
              <w:rPr>
                <w:rFonts w:hint="eastAsia" w:ascii="仿宋" w:hAnsi="仿宋" w:eastAsia="仿宋"/>
                <w:sz w:val="22"/>
              </w:rPr>
              <w:t xml:space="preserve">□开通 </w:t>
            </w:r>
            <w:r>
              <w:rPr>
                <w:rFonts w:ascii="仿宋" w:hAnsi="仿宋" w:eastAsia="仿宋"/>
                <w:sz w:val="22"/>
              </w:rPr>
              <w:t xml:space="preserve">       </w:t>
            </w:r>
            <w:r>
              <w:rPr>
                <w:rFonts w:hint="eastAsia" w:ascii="仿宋" w:hAnsi="仿宋" w:eastAsia="仿宋"/>
                <w:sz w:val="22"/>
              </w:rPr>
              <w:t>□不开通</w:t>
            </w:r>
          </w:p>
        </w:tc>
        <w:tc>
          <w:tcPr>
            <w:tcW w:w="4520" w:type="dxa"/>
            <w:gridSpan w:val="3"/>
            <w:vAlign w:val="center"/>
          </w:tcPr>
          <w:p>
            <w:pPr>
              <w:spacing w:line="360" w:lineRule="auto"/>
              <w:rPr>
                <w:rFonts w:ascii="仿宋" w:hAnsi="仿宋" w:eastAsia="仿宋"/>
                <w:sz w:val="22"/>
              </w:rPr>
            </w:pPr>
            <w:r>
              <w:rPr>
                <w:rFonts w:hint="eastAsia" w:ascii="仿宋" w:hAnsi="仿宋" w:eastAsia="仿宋"/>
                <w:sz w:val="22"/>
              </w:rPr>
              <w:t xml:space="preserve">□开通 </w:t>
            </w:r>
            <w:r>
              <w:rPr>
                <w:rFonts w:ascii="仿宋" w:hAnsi="仿宋" w:eastAsia="仿宋"/>
                <w:sz w:val="22"/>
              </w:rPr>
              <w:t xml:space="preserve">       </w:t>
            </w:r>
            <w:r>
              <w:rPr>
                <w:rFonts w:hint="eastAsia" w:ascii="仿宋" w:hAnsi="仿宋" w:eastAsia="仿宋"/>
                <w:sz w:val="22"/>
              </w:rPr>
              <w:t>□不开通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gridSpan w:val="2"/>
            <w:vMerge w:val="restart"/>
            <w:vAlign w:val="center"/>
          </w:tcPr>
          <w:p>
            <w:pPr>
              <w:spacing w:line="360" w:lineRule="auto"/>
              <w:rPr>
                <w:rFonts w:ascii="仿宋" w:hAnsi="仿宋" w:eastAsia="仿宋"/>
                <w:sz w:val="22"/>
              </w:rPr>
            </w:pPr>
            <w:r>
              <w:rPr>
                <w:rFonts w:hint="eastAsia" w:ascii="仿宋" w:hAnsi="仿宋" w:eastAsia="仿宋"/>
                <w:sz w:val="22"/>
              </w:rPr>
              <w:t>□法人机构管理员</w:t>
            </w:r>
          </w:p>
        </w:tc>
        <w:tc>
          <w:tcPr>
            <w:tcW w:w="3593" w:type="dxa"/>
            <w:gridSpan w:val="4"/>
          </w:tcPr>
          <w:p>
            <w:pPr>
              <w:spacing w:line="360" w:lineRule="auto"/>
              <w:rPr>
                <w:rFonts w:ascii="仿宋" w:hAnsi="仿宋" w:eastAsia="仿宋"/>
                <w:sz w:val="22"/>
              </w:rPr>
            </w:pPr>
            <w:r>
              <w:rPr>
                <w:rFonts w:hint="eastAsia" w:ascii="仿宋" w:hAnsi="仿宋" w:eastAsia="仿宋"/>
                <w:sz w:val="22"/>
              </w:rPr>
              <w:t>□管理员姓名：</w:t>
            </w:r>
            <w:r>
              <w:rPr>
                <w:rFonts w:ascii="仿宋" w:hAnsi="仿宋" w:eastAsia="仿宋"/>
                <w:sz w:val="22"/>
                <w:u w:val="single"/>
              </w:rPr>
              <w:t xml:space="preserve">               </w:t>
            </w:r>
          </w:p>
        </w:tc>
        <w:tc>
          <w:tcPr>
            <w:tcW w:w="4520" w:type="dxa"/>
            <w:gridSpan w:val="3"/>
          </w:tcPr>
          <w:p>
            <w:pPr>
              <w:spacing w:line="360" w:lineRule="auto"/>
              <w:rPr>
                <w:rFonts w:ascii="仿宋" w:hAnsi="仿宋" w:eastAsia="仿宋"/>
                <w:sz w:val="22"/>
              </w:rPr>
            </w:pPr>
            <w:r>
              <w:rPr>
                <w:rFonts w:hint="eastAsia" w:ascii="仿宋" w:hAnsi="仿宋" w:eastAsia="仿宋"/>
                <w:sz w:val="22"/>
              </w:rPr>
              <w:t>□管理员姓名：</w:t>
            </w:r>
            <w:r>
              <w:rPr>
                <w:rFonts w:ascii="仿宋" w:hAnsi="仿宋" w:eastAsia="仿宋"/>
                <w:sz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7" w:type="dxa"/>
            <w:gridSpan w:val="2"/>
            <w:vMerge w:val="continue"/>
            <w:vAlign w:val="center"/>
          </w:tcPr>
          <w:p>
            <w:pPr>
              <w:spacing w:line="360" w:lineRule="auto"/>
              <w:rPr>
                <w:rFonts w:ascii="仿宋" w:hAnsi="仿宋" w:eastAsia="仿宋"/>
                <w:sz w:val="22"/>
              </w:rPr>
            </w:pPr>
          </w:p>
        </w:tc>
        <w:tc>
          <w:tcPr>
            <w:tcW w:w="3593" w:type="dxa"/>
            <w:gridSpan w:val="4"/>
          </w:tcPr>
          <w:p>
            <w:pPr>
              <w:spacing w:line="360" w:lineRule="auto"/>
              <w:rPr>
                <w:rFonts w:ascii="仿宋" w:hAnsi="仿宋" w:eastAsia="仿宋"/>
                <w:sz w:val="22"/>
              </w:rPr>
            </w:pPr>
            <w:r>
              <w:rPr>
                <w:rFonts w:hint="eastAsia" w:ascii="仿宋" w:hAnsi="仿宋" w:eastAsia="仿宋"/>
                <w:sz w:val="22"/>
              </w:rPr>
              <w:t>□用户锁定（用户ID：</w:t>
            </w:r>
            <w:r>
              <w:rPr>
                <w:rFonts w:ascii="仿宋" w:hAnsi="仿宋" w:eastAsia="仿宋"/>
                <w:sz w:val="22"/>
                <w:u w:val="single"/>
              </w:rPr>
              <w:t xml:space="preserve">        </w:t>
            </w:r>
            <w:r>
              <w:rPr>
                <w:rFonts w:hint="eastAsia" w:ascii="仿宋" w:hAnsi="仿宋" w:eastAsia="仿宋"/>
                <w:sz w:val="22"/>
              </w:rPr>
              <w:t>）</w:t>
            </w:r>
          </w:p>
        </w:tc>
        <w:tc>
          <w:tcPr>
            <w:tcW w:w="4520" w:type="dxa"/>
            <w:gridSpan w:val="3"/>
          </w:tcPr>
          <w:p>
            <w:pPr>
              <w:spacing w:line="360" w:lineRule="auto"/>
              <w:rPr>
                <w:rFonts w:ascii="仿宋" w:hAnsi="仿宋" w:eastAsia="仿宋"/>
                <w:sz w:val="22"/>
              </w:rPr>
            </w:pPr>
            <w:r>
              <w:rPr>
                <w:rFonts w:hint="eastAsia" w:ascii="仿宋" w:hAnsi="仿宋" w:eastAsia="仿宋"/>
                <w:sz w:val="22"/>
              </w:rPr>
              <w:t>□解锁并重置密码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2307" w:type="dxa"/>
            <w:gridSpan w:val="2"/>
            <w:tcBorders>
              <w:bottom w:val="double" w:color="auto" w:sz="4" w:space="0"/>
            </w:tcBorders>
            <w:vAlign w:val="center"/>
          </w:tcPr>
          <w:p>
            <w:pPr>
              <w:spacing w:line="360" w:lineRule="auto"/>
              <w:rPr>
                <w:rFonts w:ascii="仿宋" w:hAnsi="仿宋" w:eastAsia="仿宋"/>
                <w:sz w:val="22"/>
              </w:rPr>
            </w:pPr>
            <w:r>
              <w:rPr>
                <w:rFonts w:hint="eastAsia" w:ascii="仿宋" w:hAnsi="仿宋" w:eastAsia="仿宋"/>
                <w:sz w:val="22"/>
              </w:rPr>
              <w:t>□其他信息变更</w:t>
            </w:r>
          </w:p>
        </w:tc>
        <w:tc>
          <w:tcPr>
            <w:tcW w:w="3593" w:type="dxa"/>
            <w:gridSpan w:val="4"/>
            <w:tcBorders>
              <w:bottom w:val="double" w:color="auto" w:sz="4" w:space="0"/>
            </w:tcBorders>
            <w:vAlign w:val="center"/>
          </w:tcPr>
          <w:p>
            <w:pPr>
              <w:spacing w:line="360" w:lineRule="auto"/>
              <w:jc w:val="center"/>
              <w:rPr>
                <w:rFonts w:ascii="仿宋" w:hAnsi="仿宋" w:eastAsia="仿宋"/>
                <w:sz w:val="22"/>
              </w:rPr>
            </w:pPr>
            <w:r>
              <w:rPr>
                <w:rFonts w:hint="eastAsia" w:ascii="仿宋" w:hAnsi="仿宋" w:eastAsia="仿宋"/>
                <w:sz w:val="22"/>
              </w:rPr>
              <w:t>（请提前与票交所联系）</w:t>
            </w:r>
          </w:p>
        </w:tc>
        <w:tc>
          <w:tcPr>
            <w:tcW w:w="4520" w:type="dxa"/>
            <w:gridSpan w:val="3"/>
            <w:tcBorders>
              <w:bottom w:val="double" w:color="auto" w:sz="4" w:space="0"/>
            </w:tcBorders>
            <w:vAlign w:val="center"/>
          </w:tcPr>
          <w:p>
            <w:pPr>
              <w:spacing w:line="360" w:lineRule="auto"/>
              <w:jc w:val="center"/>
              <w:rPr>
                <w:rFonts w:ascii="仿宋" w:hAnsi="仿宋" w:eastAsia="仿宋"/>
                <w:sz w:val="22"/>
              </w:rPr>
            </w:pPr>
            <w:r>
              <w:rPr>
                <w:rFonts w:hint="eastAsia" w:ascii="仿宋" w:hAnsi="仿宋" w:eastAsia="仿宋"/>
                <w:sz w:val="22"/>
              </w:rPr>
              <w:t>（请提前与票交所联系）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420" w:type="dxa"/>
            <w:gridSpan w:val="9"/>
            <w:shd w:val="clear" w:color="auto" w:fill="D8D8D8" w:themeFill="background1" w:themeFillShade="D9"/>
            <w:vAlign w:val="center"/>
          </w:tcPr>
          <w:p>
            <w:pPr>
              <w:jc w:val="center"/>
              <w:rPr>
                <w:rFonts w:ascii="黑体" w:hAnsi="黑体" w:eastAsia="黑体"/>
                <w:sz w:val="24"/>
              </w:rPr>
            </w:pPr>
            <w:r>
              <w:rPr>
                <w:rFonts w:hint="eastAsia" w:ascii="黑体" w:hAnsi="黑体" w:eastAsia="黑体"/>
                <w:sz w:val="24"/>
              </w:rPr>
              <w:t>分支机构信息变更（数量可自行增减）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2" w:type="dxa"/>
            <w:gridSpan w:val="3"/>
          </w:tcPr>
          <w:p>
            <w:pPr>
              <w:spacing w:line="360" w:lineRule="auto"/>
              <w:jc w:val="center"/>
              <w:rPr>
                <w:rFonts w:ascii="仿宋" w:hAnsi="仿宋" w:eastAsia="仿宋"/>
                <w:sz w:val="22"/>
              </w:rPr>
            </w:pPr>
            <w:r>
              <w:rPr>
                <w:rFonts w:hint="eastAsia" w:ascii="仿宋" w:hAnsi="仿宋" w:eastAsia="仿宋"/>
                <w:sz w:val="22"/>
              </w:rPr>
              <w:t>变更前</w:t>
            </w:r>
          </w:p>
        </w:tc>
        <w:tc>
          <w:tcPr>
            <w:tcW w:w="7098" w:type="dxa"/>
            <w:gridSpan w:val="6"/>
          </w:tcPr>
          <w:p>
            <w:pPr>
              <w:spacing w:line="360" w:lineRule="auto"/>
              <w:jc w:val="center"/>
              <w:rPr>
                <w:rFonts w:ascii="仿宋" w:hAnsi="仿宋" w:eastAsia="仿宋"/>
                <w:sz w:val="22"/>
              </w:rPr>
            </w:pPr>
            <w:r>
              <w:rPr>
                <w:rFonts w:hint="eastAsia" w:ascii="仿宋" w:hAnsi="仿宋" w:eastAsia="仿宋"/>
                <w:sz w:val="22"/>
              </w:rPr>
              <w:t>变更后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Pr>
          <w:p>
            <w:pPr>
              <w:spacing w:line="360" w:lineRule="auto"/>
              <w:jc w:val="center"/>
              <w:rPr>
                <w:rFonts w:ascii="仿宋" w:hAnsi="仿宋" w:eastAsia="仿宋"/>
                <w:sz w:val="22"/>
              </w:rPr>
            </w:pPr>
            <w:r>
              <w:rPr>
                <w:rFonts w:hint="eastAsia" w:ascii="仿宋" w:hAnsi="仿宋" w:eastAsia="仿宋"/>
                <w:sz w:val="22"/>
              </w:rPr>
              <w:t>序号</w:t>
            </w:r>
          </w:p>
        </w:tc>
        <w:tc>
          <w:tcPr>
            <w:tcW w:w="2628" w:type="dxa"/>
            <w:gridSpan w:val="2"/>
          </w:tcPr>
          <w:p>
            <w:pPr>
              <w:spacing w:line="360" w:lineRule="auto"/>
              <w:jc w:val="center"/>
              <w:rPr>
                <w:rFonts w:ascii="仿宋" w:hAnsi="仿宋" w:eastAsia="仿宋"/>
                <w:sz w:val="22"/>
              </w:rPr>
            </w:pPr>
            <w:r>
              <w:rPr>
                <w:rFonts w:hint="eastAsia" w:ascii="仿宋" w:hAnsi="仿宋" w:eastAsia="仿宋"/>
                <w:sz w:val="22"/>
              </w:rPr>
              <w:t>全称</w:t>
            </w:r>
          </w:p>
        </w:tc>
        <w:tc>
          <w:tcPr>
            <w:tcW w:w="2578" w:type="dxa"/>
            <w:gridSpan w:val="3"/>
          </w:tcPr>
          <w:p>
            <w:pPr>
              <w:spacing w:line="360" w:lineRule="auto"/>
              <w:jc w:val="center"/>
              <w:rPr>
                <w:rFonts w:ascii="仿宋" w:hAnsi="仿宋" w:eastAsia="仿宋"/>
                <w:sz w:val="22"/>
              </w:rPr>
            </w:pPr>
            <w:r>
              <w:rPr>
                <w:rFonts w:hint="eastAsia" w:ascii="仿宋" w:hAnsi="仿宋" w:eastAsia="仿宋"/>
                <w:sz w:val="22"/>
              </w:rPr>
              <w:t>全称</w:t>
            </w:r>
          </w:p>
        </w:tc>
        <w:tc>
          <w:tcPr>
            <w:tcW w:w="2501" w:type="dxa"/>
            <w:gridSpan w:val="2"/>
          </w:tcPr>
          <w:p>
            <w:pPr>
              <w:spacing w:line="360" w:lineRule="auto"/>
              <w:jc w:val="center"/>
              <w:rPr>
                <w:rFonts w:ascii="仿宋" w:hAnsi="仿宋" w:eastAsia="仿宋"/>
                <w:sz w:val="22"/>
              </w:rPr>
            </w:pPr>
            <w:r>
              <w:rPr>
                <w:rFonts w:hint="eastAsia" w:ascii="仿宋" w:hAnsi="仿宋" w:eastAsia="仿宋"/>
                <w:sz w:val="22"/>
              </w:rPr>
              <w:t>简称</w:t>
            </w:r>
          </w:p>
        </w:tc>
        <w:tc>
          <w:tcPr>
            <w:tcW w:w="2019" w:type="dxa"/>
          </w:tcPr>
          <w:p>
            <w:pPr>
              <w:spacing w:line="360" w:lineRule="auto"/>
              <w:jc w:val="center"/>
              <w:rPr>
                <w:rFonts w:ascii="仿宋" w:hAnsi="仿宋" w:eastAsia="仿宋"/>
                <w:sz w:val="22"/>
              </w:rPr>
            </w:pPr>
            <w:r>
              <w:rPr>
                <w:rFonts w:hint="eastAsia" w:ascii="仿宋" w:hAnsi="仿宋" w:eastAsia="仿宋"/>
                <w:sz w:val="22"/>
              </w:rPr>
              <w:t>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Pr>
          <w:p>
            <w:pPr>
              <w:spacing w:line="360" w:lineRule="auto"/>
              <w:jc w:val="center"/>
              <w:rPr>
                <w:rFonts w:ascii="仿宋" w:hAnsi="仿宋" w:eastAsia="仿宋"/>
                <w:sz w:val="22"/>
              </w:rPr>
            </w:pPr>
            <w:r>
              <w:rPr>
                <w:rFonts w:hint="eastAsia" w:ascii="仿宋" w:hAnsi="仿宋" w:eastAsia="仿宋"/>
                <w:sz w:val="22"/>
              </w:rPr>
              <w:t>1</w:t>
            </w:r>
          </w:p>
        </w:tc>
        <w:tc>
          <w:tcPr>
            <w:tcW w:w="2628" w:type="dxa"/>
            <w:gridSpan w:val="2"/>
          </w:tcPr>
          <w:p>
            <w:pPr>
              <w:spacing w:line="360" w:lineRule="auto"/>
              <w:jc w:val="center"/>
              <w:rPr>
                <w:rFonts w:ascii="仿宋" w:hAnsi="仿宋" w:eastAsia="仿宋"/>
                <w:sz w:val="22"/>
              </w:rPr>
            </w:pPr>
          </w:p>
        </w:tc>
        <w:tc>
          <w:tcPr>
            <w:tcW w:w="2578" w:type="dxa"/>
            <w:gridSpan w:val="3"/>
          </w:tcPr>
          <w:p>
            <w:pPr>
              <w:spacing w:line="360" w:lineRule="auto"/>
              <w:jc w:val="center"/>
              <w:rPr>
                <w:rFonts w:ascii="仿宋" w:hAnsi="仿宋" w:eastAsia="仿宋"/>
                <w:sz w:val="22"/>
              </w:rPr>
            </w:pPr>
          </w:p>
        </w:tc>
        <w:tc>
          <w:tcPr>
            <w:tcW w:w="2501" w:type="dxa"/>
            <w:gridSpan w:val="2"/>
          </w:tcPr>
          <w:p>
            <w:pPr>
              <w:spacing w:line="360" w:lineRule="auto"/>
              <w:jc w:val="center"/>
              <w:rPr>
                <w:rFonts w:ascii="仿宋" w:hAnsi="仿宋" w:eastAsia="仿宋"/>
                <w:sz w:val="22"/>
              </w:rPr>
            </w:pPr>
          </w:p>
        </w:tc>
        <w:tc>
          <w:tcPr>
            <w:tcW w:w="2019" w:type="dxa"/>
          </w:tcPr>
          <w:p>
            <w:pPr>
              <w:spacing w:line="360" w:lineRule="auto"/>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Pr>
          <w:p>
            <w:pPr>
              <w:spacing w:line="360" w:lineRule="auto"/>
              <w:jc w:val="center"/>
              <w:rPr>
                <w:rFonts w:ascii="仿宋" w:hAnsi="仿宋" w:eastAsia="仿宋"/>
                <w:sz w:val="22"/>
              </w:rPr>
            </w:pPr>
            <w:r>
              <w:rPr>
                <w:rFonts w:hint="eastAsia" w:ascii="仿宋" w:hAnsi="仿宋" w:eastAsia="仿宋"/>
                <w:sz w:val="22"/>
              </w:rPr>
              <w:t>2</w:t>
            </w:r>
          </w:p>
        </w:tc>
        <w:tc>
          <w:tcPr>
            <w:tcW w:w="2628" w:type="dxa"/>
            <w:gridSpan w:val="2"/>
          </w:tcPr>
          <w:p>
            <w:pPr>
              <w:spacing w:line="360" w:lineRule="auto"/>
              <w:jc w:val="center"/>
              <w:rPr>
                <w:rFonts w:ascii="仿宋" w:hAnsi="仿宋" w:eastAsia="仿宋"/>
                <w:sz w:val="22"/>
              </w:rPr>
            </w:pPr>
          </w:p>
        </w:tc>
        <w:tc>
          <w:tcPr>
            <w:tcW w:w="2578" w:type="dxa"/>
            <w:gridSpan w:val="3"/>
          </w:tcPr>
          <w:p>
            <w:pPr>
              <w:spacing w:line="360" w:lineRule="auto"/>
              <w:jc w:val="center"/>
              <w:rPr>
                <w:rFonts w:ascii="仿宋" w:hAnsi="仿宋" w:eastAsia="仿宋"/>
                <w:sz w:val="22"/>
              </w:rPr>
            </w:pPr>
          </w:p>
        </w:tc>
        <w:tc>
          <w:tcPr>
            <w:tcW w:w="2501" w:type="dxa"/>
            <w:gridSpan w:val="2"/>
          </w:tcPr>
          <w:p>
            <w:pPr>
              <w:spacing w:line="360" w:lineRule="auto"/>
              <w:jc w:val="center"/>
              <w:rPr>
                <w:rFonts w:ascii="仿宋" w:hAnsi="仿宋" w:eastAsia="仿宋"/>
                <w:sz w:val="22"/>
              </w:rPr>
            </w:pPr>
          </w:p>
        </w:tc>
        <w:tc>
          <w:tcPr>
            <w:tcW w:w="2019" w:type="dxa"/>
          </w:tcPr>
          <w:p>
            <w:pPr>
              <w:spacing w:line="360" w:lineRule="auto"/>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tcBorders>
              <w:bottom w:val="double" w:color="auto" w:sz="4" w:space="0"/>
            </w:tcBorders>
          </w:tcPr>
          <w:p>
            <w:pPr>
              <w:spacing w:line="360" w:lineRule="auto"/>
              <w:jc w:val="center"/>
              <w:rPr>
                <w:rFonts w:ascii="仿宋" w:hAnsi="仿宋" w:eastAsia="仿宋"/>
                <w:sz w:val="22"/>
              </w:rPr>
            </w:pPr>
            <w:r>
              <w:rPr>
                <w:rFonts w:hint="eastAsia" w:ascii="仿宋" w:hAnsi="仿宋" w:eastAsia="仿宋"/>
                <w:sz w:val="22"/>
              </w:rPr>
              <w:t>3</w:t>
            </w:r>
          </w:p>
        </w:tc>
        <w:tc>
          <w:tcPr>
            <w:tcW w:w="2628" w:type="dxa"/>
            <w:gridSpan w:val="2"/>
            <w:tcBorders>
              <w:bottom w:val="double" w:color="auto" w:sz="4" w:space="0"/>
            </w:tcBorders>
          </w:tcPr>
          <w:p>
            <w:pPr>
              <w:spacing w:line="360" w:lineRule="auto"/>
              <w:jc w:val="center"/>
              <w:rPr>
                <w:rFonts w:ascii="仿宋" w:hAnsi="仿宋" w:eastAsia="仿宋"/>
                <w:sz w:val="22"/>
              </w:rPr>
            </w:pPr>
          </w:p>
        </w:tc>
        <w:tc>
          <w:tcPr>
            <w:tcW w:w="2578" w:type="dxa"/>
            <w:gridSpan w:val="3"/>
            <w:tcBorders>
              <w:bottom w:val="double" w:color="auto" w:sz="4" w:space="0"/>
            </w:tcBorders>
          </w:tcPr>
          <w:p>
            <w:pPr>
              <w:spacing w:line="360" w:lineRule="auto"/>
              <w:jc w:val="center"/>
              <w:rPr>
                <w:rFonts w:ascii="仿宋" w:hAnsi="仿宋" w:eastAsia="仿宋"/>
                <w:sz w:val="22"/>
              </w:rPr>
            </w:pPr>
          </w:p>
        </w:tc>
        <w:tc>
          <w:tcPr>
            <w:tcW w:w="2501" w:type="dxa"/>
            <w:gridSpan w:val="2"/>
            <w:tcBorders>
              <w:bottom w:val="double" w:color="auto" w:sz="4" w:space="0"/>
            </w:tcBorders>
          </w:tcPr>
          <w:p>
            <w:pPr>
              <w:spacing w:line="360" w:lineRule="auto"/>
              <w:jc w:val="center"/>
              <w:rPr>
                <w:rFonts w:ascii="仿宋" w:hAnsi="仿宋" w:eastAsia="仿宋"/>
                <w:sz w:val="22"/>
              </w:rPr>
            </w:pPr>
          </w:p>
        </w:tc>
        <w:tc>
          <w:tcPr>
            <w:tcW w:w="2019" w:type="dxa"/>
            <w:tcBorders>
              <w:bottom w:val="double" w:color="auto" w:sz="4" w:space="0"/>
            </w:tcBorders>
          </w:tcPr>
          <w:p>
            <w:pPr>
              <w:spacing w:line="360" w:lineRule="auto"/>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420" w:type="dxa"/>
            <w:gridSpan w:val="9"/>
            <w:tcBorders>
              <w:top w:val="double" w:color="auto" w:sz="4" w:space="0"/>
              <w:bottom w:val="single" w:color="auto" w:sz="4" w:space="0"/>
            </w:tcBorders>
            <w:shd w:val="clear" w:color="auto" w:fill="D8D8D8" w:themeFill="background1" w:themeFillShade="D9"/>
            <w:vAlign w:val="center"/>
          </w:tcPr>
          <w:p>
            <w:pPr>
              <w:spacing w:line="360" w:lineRule="auto"/>
              <w:jc w:val="center"/>
              <w:rPr>
                <w:rFonts w:ascii="黑体" w:hAnsi="黑体" w:eastAsia="黑体"/>
                <w:sz w:val="24"/>
              </w:rPr>
            </w:pPr>
            <w:r>
              <w:rPr>
                <w:rFonts w:hint="eastAsia" w:ascii="黑体" w:hAnsi="黑体" w:eastAsia="黑体"/>
                <w:sz w:val="24"/>
              </w:rPr>
              <w:t xml:space="preserve"> “票付通”业务信息变更/“供应链票据”业务信息变更</w:t>
            </w:r>
          </w:p>
          <w:p>
            <w:pPr>
              <w:spacing w:line="360" w:lineRule="auto"/>
              <w:jc w:val="center"/>
              <w:rPr>
                <w:rFonts w:ascii="黑体" w:hAnsi="黑体" w:eastAsia="黑体"/>
                <w:sz w:val="24"/>
              </w:rPr>
            </w:pPr>
            <w:r>
              <w:rPr>
                <w:rFonts w:hint="eastAsia" w:ascii="黑体" w:hAnsi="黑体" w:eastAsia="黑体"/>
                <w:sz w:val="24"/>
              </w:rPr>
              <w:t>申请事项说明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3" w:hRule="atLeast"/>
          <w:jc w:val="center"/>
        </w:trPr>
        <w:tc>
          <w:tcPr>
            <w:tcW w:w="10420" w:type="dxa"/>
            <w:gridSpan w:val="9"/>
            <w:tcBorders>
              <w:top w:val="single" w:color="auto" w:sz="4" w:space="0"/>
            </w:tcBorders>
            <w:shd w:val="clear" w:color="auto" w:fill="auto"/>
          </w:tcPr>
          <w:p>
            <w:pPr>
              <w:spacing w:line="360" w:lineRule="auto"/>
              <w:rPr>
                <w:rFonts w:ascii="仿宋" w:hAnsi="仿宋" w:eastAsia="仿宋"/>
                <w:sz w:val="22"/>
              </w:rPr>
            </w:pPr>
            <w:r>
              <w:rPr>
                <w:rFonts w:hint="eastAsia" w:ascii="仿宋" w:hAnsi="仿宋" w:eastAsia="仿宋"/>
                <w:sz w:val="22"/>
              </w:rPr>
              <w:t>（请填写申请事项具体内容及理由）</w:t>
            </w:r>
          </w:p>
          <w:p>
            <w:pPr>
              <w:spacing w:line="360" w:lineRule="auto"/>
              <w:rPr>
                <w:rFonts w:ascii="仿宋" w:hAnsi="仿宋" w:eastAsia="仿宋"/>
                <w:sz w:val="22"/>
              </w:rPr>
            </w:pPr>
          </w:p>
        </w:tc>
      </w:tr>
    </w:tbl>
    <w:p>
      <w:pPr>
        <w:rPr>
          <w:lang w:bidi="ar"/>
        </w:rPr>
        <w:sectPr>
          <w:pgSz w:w="11906" w:h="16838"/>
          <w:pgMar w:top="567" w:right="851" w:bottom="851" w:left="851" w:header="284"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adjustRightInd w:val="0"/>
        <w:snapToGrid w:val="0"/>
        <w:spacing w:before="0" w:after="0" w:line="240" w:lineRule="auto"/>
        <w:textAlignment w:val="baseline"/>
        <w:rPr>
          <w:rFonts w:ascii="仿宋" w:hAnsi="仿宋" w:eastAsia="仿宋" w:cs="仿宋"/>
          <w:b w:val="0"/>
          <w:bCs w:val="0"/>
          <w:color w:val="000000"/>
          <w:lang w:bidi="ar"/>
        </w:rPr>
      </w:pPr>
      <w:bookmarkStart w:id="2880" w:name="_Toc11911"/>
      <w:bookmarkStart w:id="2881" w:name="_Toc16452"/>
      <w:bookmarkStart w:id="2882" w:name="_Toc30117"/>
      <w:bookmarkStart w:id="2883" w:name="_Toc23709"/>
      <w:bookmarkStart w:id="2884" w:name="_Toc7505"/>
      <w:bookmarkStart w:id="2885" w:name="_Toc29827"/>
      <w:bookmarkStart w:id="2886" w:name="_Toc14961"/>
      <w:bookmarkStart w:id="2887" w:name="_Toc32604"/>
      <w:bookmarkStart w:id="2888" w:name="_Toc7839"/>
      <w:bookmarkStart w:id="2889" w:name="_Toc1784606028"/>
      <w:r>
        <w:rPr>
          <w:rFonts w:hint="eastAsia" w:ascii="仿宋" w:hAnsi="仿宋" w:eastAsia="仿宋" w:cs="仿宋"/>
          <w:b w:val="0"/>
          <w:bCs w:val="0"/>
          <w:color w:val="000000"/>
          <w:lang w:bidi="ar"/>
        </w:rPr>
        <w:t>附件9：</w:t>
      </w:r>
      <w:bookmarkEnd w:id="2880"/>
      <w:bookmarkEnd w:id="2881"/>
      <w:bookmarkEnd w:id="2882"/>
      <w:bookmarkEnd w:id="2883"/>
      <w:bookmarkEnd w:id="2884"/>
      <w:bookmarkEnd w:id="2885"/>
      <w:bookmarkEnd w:id="2886"/>
      <w:bookmarkEnd w:id="2887"/>
      <w:bookmarkEnd w:id="2888"/>
      <w:bookmarkEnd w:id="2889"/>
    </w:p>
    <w:p>
      <w:pPr>
        <w:pStyle w:val="3"/>
        <w:spacing w:before="0" w:after="0" w:line="240" w:lineRule="auto"/>
        <w:jc w:val="center"/>
        <w:rPr>
          <w:rFonts w:ascii="黑体" w:hAnsi="黑体" w:eastAsia="黑体" w:cs="Times New Roman"/>
          <w:b w:val="0"/>
          <w:bCs w:val="0"/>
          <w:sz w:val="36"/>
          <w:szCs w:val="36"/>
        </w:rPr>
      </w:pPr>
      <w:bookmarkStart w:id="2890" w:name="_Toc17063"/>
      <w:bookmarkStart w:id="2891" w:name="_Toc21647"/>
      <w:bookmarkStart w:id="2892" w:name="_Toc15127"/>
      <w:bookmarkStart w:id="2893" w:name="_Toc21850"/>
      <w:bookmarkStart w:id="2894" w:name="_Toc24553"/>
      <w:bookmarkStart w:id="2895" w:name="_Toc1035747295"/>
      <w:bookmarkStart w:id="2896" w:name="_Toc17605"/>
      <w:bookmarkStart w:id="2897" w:name="_Toc10006"/>
      <w:bookmarkStart w:id="2898" w:name="_Toc25296"/>
      <w:bookmarkStart w:id="2899" w:name="_Toc25246"/>
      <w:r>
        <w:rPr>
          <w:rFonts w:hint="eastAsia" w:ascii="黑体" w:hAnsi="黑体" w:eastAsia="黑体" w:cs="Times New Roman"/>
          <w:b w:val="0"/>
          <w:bCs w:val="0"/>
          <w:sz w:val="36"/>
          <w:szCs w:val="36"/>
        </w:rPr>
        <w:t>上海票据交易所参与者退出申请表</w:t>
      </w:r>
      <w:bookmarkEnd w:id="2890"/>
      <w:bookmarkEnd w:id="2891"/>
      <w:bookmarkEnd w:id="2892"/>
      <w:bookmarkEnd w:id="2893"/>
      <w:bookmarkEnd w:id="2894"/>
      <w:bookmarkEnd w:id="2895"/>
      <w:bookmarkEnd w:id="2896"/>
      <w:bookmarkEnd w:id="2897"/>
    </w:p>
    <w:tbl>
      <w:tblPr>
        <w:tblStyle w:val="19"/>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09"/>
        <w:gridCol w:w="104"/>
        <w:gridCol w:w="1457"/>
        <w:gridCol w:w="1832"/>
        <w:gridCol w:w="1976"/>
        <w:gridCol w:w="133"/>
        <w:gridCol w:w="1153"/>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91" w:type="dxa"/>
            <w:gridSpan w:val="6"/>
            <w:tcBorders>
              <w:top w:val="nil"/>
              <w:left w:val="nil"/>
              <w:bottom w:val="nil"/>
              <w:right w:val="nil"/>
            </w:tcBorders>
          </w:tcPr>
          <w:p>
            <w:pPr>
              <w:rPr>
                <w:rFonts w:ascii="仿宋" w:hAnsi="仿宋" w:eastAsia="仿宋"/>
                <w:sz w:val="22"/>
              </w:rPr>
            </w:pPr>
            <w:r>
              <w:rPr>
                <w:rFonts w:hint="eastAsia" w:ascii="仿宋" w:hAnsi="仿宋" w:eastAsia="仿宋"/>
                <w:sz w:val="22"/>
              </w:rPr>
              <w:t>法人机构全称：</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（加盖公章）</w:t>
            </w:r>
          </w:p>
        </w:tc>
        <w:tc>
          <w:tcPr>
            <w:tcW w:w="3031" w:type="dxa"/>
            <w:gridSpan w:val="3"/>
            <w:tcBorders>
              <w:top w:val="nil"/>
              <w:left w:val="nil"/>
              <w:bottom w:val="nil"/>
              <w:right w:val="nil"/>
            </w:tcBorders>
          </w:tcPr>
          <w:p>
            <w:pPr>
              <w:ind w:right="-252"/>
              <w:rPr>
                <w:rFonts w:ascii="仿宋" w:hAnsi="仿宋" w:eastAsia="仿宋"/>
                <w:sz w:val="22"/>
              </w:rPr>
            </w:pPr>
            <w:r>
              <w:rPr>
                <w:rFonts w:hint="eastAsia" w:ascii="仿宋" w:hAnsi="仿宋" w:eastAsia="仿宋"/>
                <w:sz w:val="22"/>
              </w:rPr>
              <w:t>申请日期：</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年</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月</w:t>
            </w:r>
            <w:r>
              <w:rPr>
                <w:rFonts w:hint="eastAsia" w:ascii="仿宋" w:hAnsi="仿宋" w:eastAsia="仿宋"/>
                <w:sz w:val="22"/>
                <w:u w:val="single"/>
              </w:rPr>
              <w:t xml:space="preserve"> </w:t>
            </w:r>
            <w:r>
              <w:rPr>
                <w:rFonts w:ascii="仿宋" w:hAnsi="仿宋" w:eastAsia="仿宋"/>
                <w:sz w:val="22"/>
                <w:u w:val="single"/>
              </w:rPr>
              <w:t xml:space="preserve">  </w:t>
            </w:r>
            <w:r>
              <w:rPr>
                <w:rFonts w:hint="eastAsia" w:ascii="仿宋" w:hAnsi="仿宋" w:eastAsia="仿宋"/>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22" w:type="dxa"/>
            <w:gridSpan w:val="9"/>
            <w:tcBorders>
              <w:top w:val="nil"/>
              <w:left w:val="nil"/>
              <w:bottom w:val="single" w:color="auto" w:sz="4" w:space="0"/>
              <w:right w:val="nil"/>
            </w:tcBorders>
          </w:tcPr>
          <w:p>
            <w:pPr>
              <w:spacing w:before="156" w:beforeLines="50"/>
              <w:rPr>
                <w:rFonts w:ascii="仿宋" w:hAnsi="仿宋" w:eastAsia="仿宋"/>
                <w:sz w:val="22"/>
              </w:rPr>
            </w:pPr>
            <w:r>
              <w:rPr>
                <w:rFonts w:hint="eastAsia" w:ascii="仿宋" w:hAnsi="仿宋" w:eastAsia="仿宋"/>
                <w:sz w:val="22"/>
              </w:rPr>
              <w:t>退出事项：□法人机构退出</w:t>
            </w:r>
            <w:r>
              <w:rPr>
                <w:rFonts w:ascii="仿宋" w:hAnsi="仿宋" w:eastAsia="仿宋"/>
                <w:sz w:val="22"/>
              </w:rPr>
              <w:t xml:space="preserve">                     </w:t>
            </w:r>
            <w:r>
              <w:rPr>
                <w:rFonts w:hint="eastAsia" w:ascii="仿宋" w:hAnsi="仿宋" w:eastAsia="仿宋"/>
                <w:sz w:val="22"/>
              </w:rPr>
              <w:t xml:space="preserve">□分支机构退出 </w:t>
            </w:r>
            <w:r>
              <w:rPr>
                <w:rFonts w:ascii="仿宋" w:hAnsi="仿宋" w:eastAsia="仿宋"/>
                <w:sz w:val="22"/>
              </w:rPr>
              <w:t xml:space="preserve">              </w:t>
            </w:r>
            <w:r>
              <w:rPr>
                <w:rFonts w:hint="eastAsia" w:ascii="仿宋" w:hAnsi="仿宋" w:eastAsia="仿宋"/>
                <w:sz w:val="22"/>
              </w:rPr>
              <w:t>□非法人产品退出</w:t>
            </w:r>
          </w:p>
          <w:p>
            <w:pPr>
              <w:rPr>
                <w:rFonts w:ascii="仿宋" w:hAnsi="仿宋" w:eastAsia="仿宋"/>
                <w:sz w:val="22"/>
              </w:rPr>
            </w:pPr>
            <w:r>
              <w:rPr>
                <w:rFonts w:hint="eastAsia" w:ascii="仿宋" w:hAnsi="仿宋" w:eastAsia="仿宋"/>
                <w:sz w:val="22"/>
              </w:rPr>
              <w:t xml:space="preserve"> </w:t>
            </w:r>
            <w:r>
              <w:rPr>
                <w:rFonts w:ascii="仿宋" w:hAnsi="仿宋" w:eastAsia="仿宋"/>
                <w:sz w:val="22"/>
              </w:rPr>
              <w:t xml:space="preserve">         </w:t>
            </w:r>
            <w:r>
              <w:rPr>
                <w:rFonts w:hint="eastAsia" w:ascii="仿宋" w:hAnsi="仿宋" w:eastAsia="仿宋"/>
                <w:sz w:val="22"/>
              </w:rPr>
              <w:t>□“票付通”业务B</w:t>
            </w:r>
            <w:r>
              <w:rPr>
                <w:rFonts w:ascii="仿宋" w:hAnsi="仿宋" w:eastAsia="仿宋"/>
                <w:sz w:val="22"/>
              </w:rPr>
              <w:t>2</w:t>
            </w:r>
            <w:r>
              <w:rPr>
                <w:rFonts w:hint="eastAsia" w:ascii="仿宋" w:hAnsi="仿宋" w:eastAsia="仿宋"/>
                <w:sz w:val="22"/>
              </w:rPr>
              <w:t xml:space="preserve">B平台解除合作 </w:t>
            </w:r>
            <w:r>
              <w:rPr>
                <w:rFonts w:ascii="仿宋" w:hAnsi="仿宋" w:eastAsia="仿宋"/>
                <w:sz w:val="22"/>
              </w:rPr>
              <w:t xml:space="preserve">  </w:t>
            </w:r>
            <w:r>
              <w:rPr>
                <w:rFonts w:hint="eastAsia" w:ascii="仿宋" w:hAnsi="仿宋" w:eastAsia="仿宋"/>
                <w:sz w:val="22"/>
              </w:rPr>
              <w:t>□“供应链票据”业务退出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gridSpan w:val="3"/>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rPr>
              <w:t>退出事项联系人</w:t>
            </w:r>
          </w:p>
        </w:tc>
        <w:tc>
          <w:tcPr>
            <w:tcW w:w="1457" w:type="dxa"/>
            <w:tcBorders>
              <w:top w:val="single" w:color="auto" w:sz="4" w:space="0"/>
              <w:left w:val="single" w:color="auto" w:sz="4" w:space="0"/>
              <w:bottom w:val="double" w:color="auto" w:sz="4" w:space="0"/>
              <w:right w:val="single" w:color="auto" w:sz="4" w:space="0"/>
            </w:tcBorders>
          </w:tcPr>
          <w:p>
            <w:pPr>
              <w:spacing w:line="360" w:lineRule="auto"/>
              <w:rPr>
                <w:rFonts w:ascii="仿宋" w:hAnsi="仿宋" w:eastAsia="仿宋"/>
                <w:sz w:val="22"/>
              </w:rPr>
            </w:pPr>
          </w:p>
        </w:tc>
        <w:tc>
          <w:tcPr>
            <w:tcW w:w="1832" w:type="dxa"/>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rPr>
              <w:t>电话、</w:t>
            </w:r>
            <w:r>
              <w:rPr>
                <w:rFonts w:hint="eastAsia" w:ascii="仿宋" w:hAnsi="仿宋" w:eastAsia="仿宋"/>
                <w:sz w:val="22"/>
                <w:lang w:eastAsia="zh-CN"/>
              </w:rPr>
              <w:t>工作</w:t>
            </w:r>
            <w:r>
              <w:rPr>
                <w:rFonts w:hint="eastAsia" w:ascii="仿宋" w:hAnsi="仿宋" w:eastAsia="仿宋"/>
                <w:sz w:val="22"/>
              </w:rPr>
              <w:t>手机</w:t>
            </w:r>
          </w:p>
        </w:tc>
        <w:tc>
          <w:tcPr>
            <w:tcW w:w="2109" w:type="dxa"/>
            <w:gridSpan w:val="2"/>
            <w:tcBorders>
              <w:top w:val="single" w:color="auto" w:sz="4" w:space="0"/>
              <w:left w:val="single" w:color="auto" w:sz="4" w:space="0"/>
              <w:bottom w:val="double" w:color="auto" w:sz="4" w:space="0"/>
              <w:right w:val="single" w:color="auto" w:sz="4" w:space="0"/>
            </w:tcBorders>
          </w:tcPr>
          <w:p>
            <w:pPr>
              <w:spacing w:line="360" w:lineRule="auto"/>
              <w:rPr>
                <w:rFonts w:ascii="仿宋" w:hAnsi="仿宋" w:eastAsia="仿宋"/>
                <w:sz w:val="22"/>
              </w:rPr>
            </w:pPr>
          </w:p>
        </w:tc>
        <w:tc>
          <w:tcPr>
            <w:tcW w:w="1153" w:type="dxa"/>
            <w:tcBorders>
              <w:top w:val="single" w:color="auto" w:sz="4" w:space="0"/>
              <w:left w:val="single" w:color="auto" w:sz="4" w:space="0"/>
              <w:bottom w:val="double" w:color="auto" w:sz="4" w:space="0"/>
              <w:right w:val="single" w:color="auto" w:sz="4" w:space="0"/>
            </w:tcBorders>
          </w:tcPr>
          <w:p>
            <w:pPr>
              <w:spacing w:line="360" w:lineRule="auto"/>
              <w:jc w:val="center"/>
              <w:rPr>
                <w:rFonts w:ascii="仿宋" w:hAnsi="仿宋" w:eastAsia="仿宋"/>
                <w:sz w:val="22"/>
              </w:rPr>
            </w:pPr>
            <w:r>
              <w:rPr>
                <w:rFonts w:hint="eastAsia" w:ascii="仿宋" w:hAnsi="仿宋" w:eastAsia="仿宋"/>
                <w:sz w:val="22"/>
                <w:lang w:eastAsia="zh-CN"/>
              </w:rPr>
              <w:t>工作</w:t>
            </w:r>
            <w:r>
              <w:rPr>
                <w:rFonts w:hint="eastAsia" w:ascii="仿宋" w:hAnsi="仿宋" w:eastAsia="仿宋"/>
                <w:sz w:val="22"/>
              </w:rPr>
              <w:t>邮箱</w:t>
            </w:r>
          </w:p>
        </w:tc>
        <w:tc>
          <w:tcPr>
            <w:tcW w:w="1745"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422" w:type="dxa"/>
            <w:gridSpan w:val="9"/>
            <w:tcBorders>
              <w:top w:val="double" w:color="auto" w:sz="4" w:space="0"/>
            </w:tcBorders>
            <w:shd w:val="clear" w:color="auto" w:fill="D8D8D8" w:themeFill="background1" w:themeFillShade="D9"/>
            <w:vAlign w:val="center"/>
          </w:tcPr>
          <w:p>
            <w:pPr>
              <w:jc w:val="center"/>
              <w:rPr>
                <w:rFonts w:ascii="黑体" w:hAnsi="黑体" w:eastAsia="黑体"/>
                <w:sz w:val="24"/>
              </w:rPr>
            </w:pPr>
            <w:r>
              <w:rPr>
                <w:rFonts w:hint="eastAsia" w:ascii="黑体" w:hAnsi="黑体" w:eastAsia="黑体"/>
                <w:sz w:val="24"/>
              </w:rPr>
              <w:t>法人机构退出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trPr>
        <w:tc>
          <w:tcPr>
            <w:tcW w:w="10422" w:type="dxa"/>
            <w:gridSpan w:val="9"/>
            <w:vAlign w:val="center"/>
          </w:tcPr>
          <w:p>
            <w:pPr>
              <w:spacing w:line="360" w:lineRule="auto"/>
              <w:jc w:val="center"/>
              <w:rPr>
                <w:rFonts w:ascii="黑体" w:hAnsi="黑体" w:eastAsia="黑体"/>
                <w:sz w:val="24"/>
              </w:rPr>
            </w:pPr>
            <w:r>
              <w:rPr>
                <w:rFonts w:hint="eastAsia" w:ascii="黑体" w:hAnsi="黑体" w:eastAsia="黑体"/>
                <w:sz w:val="24"/>
              </w:rPr>
              <w:t>法人机构主体退出申请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trPr>
        <w:tc>
          <w:tcPr>
            <w:tcW w:w="2126" w:type="dxa"/>
            <w:gridSpan w:val="3"/>
          </w:tcPr>
          <w:p>
            <w:pPr>
              <w:spacing w:line="360" w:lineRule="auto"/>
              <w:jc w:val="center"/>
              <w:rPr>
                <w:rFonts w:ascii="仿宋" w:hAnsi="仿宋" w:eastAsia="仿宋"/>
                <w:sz w:val="22"/>
              </w:rPr>
            </w:pPr>
            <w:r>
              <w:rPr>
                <w:rFonts w:hint="eastAsia" w:ascii="仿宋" w:hAnsi="仿宋" w:eastAsia="仿宋"/>
                <w:sz w:val="22"/>
              </w:rPr>
              <w:t>是否办理业务承接</w:t>
            </w:r>
          </w:p>
        </w:tc>
        <w:tc>
          <w:tcPr>
            <w:tcW w:w="8296" w:type="dxa"/>
            <w:gridSpan w:val="6"/>
          </w:tcPr>
          <w:p>
            <w:pPr>
              <w:spacing w:line="360" w:lineRule="auto"/>
              <w:rPr>
                <w:rFonts w:ascii="仿宋" w:hAnsi="仿宋" w:eastAsia="仿宋"/>
                <w:sz w:val="22"/>
              </w:rPr>
            </w:pPr>
            <w:r>
              <w:rPr>
                <w:rFonts w:hint="eastAsia" w:ascii="仿宋" w:hAnsi="仿宋" w:eastAsia="仿宋"/>
                <w:sz w:val="22"/>
              </w:rPr>
              <w:t xml:space="preserve">□需要办理业务承接 </w:t>
            </w:r>
            <w:r>
              <w:rPr>
                <w:rFonts w:ascii="仿宋" w:hAnsi="仿宋" w:eastAsia="仿宋"/>
                <w:sz w:val="22"/>
              </w:rPr>
              <w:t xml:space="preserve">       </w:t>
            </w:r>
            <w:r>
              <w:rPr>
                <w:rFonts w:hint="eastAsia" w:ascii="仿宋" w:hAnsi="仿宋" w:eastAsia="仿宋"/>
                <w:sz w:val="22"/>
              </w:rPr>
              <w:t>□无需办理业务承接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trPr>
        <w:tc>
          <w:tcPr>
            <w:tcW w:w="2126" w:type="dxa"/>
            <w:gridSpan w:val="3"/>
            <w:tcBorders>
              <w:bottom w:val="single" w:color="auto" w:sz="4" w:space="0"/>
            </w:tcBorders>
          </w:tcPr>
          <w:p>
            <w:pPr>
              <w:spacing w:line="360" w:lineRule="auto"/>
              <w:jc w:val="center"/>
              <w:rPr>
                <w:rFonts w:ascii="仿宋" w:hAnsi="仿宋" w:eastAsia="仿宋"/>
                <w:sz w:val="22"/>
              </w:rPr>
            </w:pPr>
            <w:r>
              <w:rPr>
                <w:rFonts w:hint="eastAsia" w:ascii="仿宋" w:hAnsi="仿宋" w:eastAsia="仿宋"/>
                <w:sz w:val="22"/>
              </w:rPr>
              <w:t>承接机构全称</w:t>
            </w:r>
          </w:p>
        </w:tc>
        <w:tc>
          <w:tcPr>
            <w:tcW w:w="8296" w:type="dxa"/>
            <w:gridSpan w:val="6"/>
            <w:tcBorders>
              <w:bottom w:val="single" w:color="auto" w:sz="4" w:space="0"/>
            </w:tcBorders>
          </w:tcPr>
          <w:p>
            <w:pPr>
              <w:spacing w:line="360" w:lineRule="auto"/>
              <w:rPr>
                <w:rFonts w:ascii="仿宋" w:hAnsi="仿宋" w:eastAsia="仿宋"/>
                <w:sz w:val="22"/>
              </w:rPr>
            </w:pPr>
            <w:r>
              <w:rPr>
                <w:rFonts w:hint="eastAsia" w:ascii="仿宋" w:hAnsi="仿宋" w:eastAsia="仿宋"/>
                <w:sz w:val="22"/>
              </w:rPr>
              <w:t>（若无需办理业务承接则不填）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0422" w:type="dxa"/>
            <w:gridSpan w:val="9"/>
            <w:tcBorders>
              <w:bottom w:val="single" w:color="auto" w:sz="4" w:space="0"/>
            </w:tcBorders>
          </w:tcPr>
          <w:p>
            <w:pPr>
              <w:spacing w:line="360" w:lineRule="auto"/>
              <w:ind w:firstLine="440" w:firstLineChars="200"/>
              <w:rPr>
                <w:rFonts w:ascii="仿宋" w:hAnsi="仿宋" w:eastAsia="仿宋"/>
                <w:sz w:val="22"/>
              </w:rPr>
            </w:pPr>
            <w:r>
              <w:rPr>
                <w:rFonts w:hint="eastAsia" w:ascii="仿宋" w:hAnsi="仿宋" w:eastAsia="仿宋"/>
                <w:sz w:val="22"/>
              </w:rPr>
              <w:t>我单位已知晓承接或退出票据业务系统将导致被承接机构无法再办理业务，承担因法人机构承接或退出产生的全部法律责任，请上海票据交易所予以办理。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0422" w:type="dxa"/>
            <w:gridSpan w:val="9"/>
            <w:tcBorders>
              <w:bottom w:val="single" w:color="auto" w:sz="4" w:space="0"/>
            </w:tcBorders>
            <w:vAlign w:val="center"/>
          </w:tcPr>
          <w:p>
            <w:pPr>
              <w:jc w:val="center"/>
              <w:rPr>
                <w:rFonts w:ascii="黑体" w:hAnsi="黑体" w:eastAsia="黑体"/>
                <w:sz w:val="24"/>
              </w:rPr>
            </w:pPr>
            <w:r>
              <w:rPr>
                <w:rFonts w:hint="eastAsia" w:ascii="黑体" w:hAnsi="黑体" w:eastAsia="黑体"/>
                <w:sz w:val="24"/>
              </w:rPr>
              <w:t>会员资金账户销户申请（使用会员资金账户的机构请填写，其余机构不填）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trPr>
        <w:tc>
          <w:tcPr>
            <w:tcW w:w="2126" w:type="dxa"/>
            <w:gridSpan w:val="3"/>
            <w:tcBorders>
              <w:bottom w:val="single" w:color="auto" w:sz="4" w:space="0"/>
            </w:tcBorders>
          </w:tcPr>
          <w:p>
            <w:pPr>
              <w:spacing w:line="360" w:lineRule="auto"/>
              <w:jc w:val="center"/>
              <w:rPr>
                <w:rFonts w:ascii="仿宋" w:hAnsi="仿宋" w:eastAsia="仿宋"/>
                <w:sz w:val="22"/>
              </w:rPr>
            </w:pPr>
            <w:r>
              <w:rPr>
                <w:rFonts w:hint="eastAsia" w:ascii="仿宋" w:hAnsi="仿宋" w:eastAsia="仿宋"/>
                <w:sz w:val="22"/>
              </w:rPr>
              <w:t>会员资金账户名称</w:t>
            </w:r>
          </w:p>
        </w:tc>
        <w:tc>
          <w:tcPr>
            <w:tcW w:w="3289" w:type="dxa"/>
            <w:gridSpan w:val="2"/>
            <w:tcBorders>
              <w:bottom w:val="single" w:color="auto" w:sz="4" w:space="0"/>
            </w:tcBorders>
          </w:tcPr>
          <w:p>
            <w:pPr>
              <w:spacing w:line="360" w:lineRule="auto"/>
              <w:rPr>
                <w:rFonts w:ascii="仿宋" w:hAnsi="仿宋" w:eastAsia="仿宋"/>
                <w:sz w:val="22"/>
              </w:rPr>
            </w:pPr>
          </w:p>
        </w:tc>
        <w:tc>
          <w:tcPr>
            <w:tcW w:w="1976" w:type="dxa"/>
            <w:tcBorders>
              <w:bottom w:val="single" w:color="auto" w:sz="4" w:space="0"/>
            </w:tcBorders>
          </w:tcPr>
          <w:p>
            <w:pPr>
              <w:spacing w:line="360" w:lineRule="auto"/>
              <w:rPr>
                <w:rFonts w:ascii="仿宋" w:hAnsi="仿宋" w:eastAsia="仿宋"/>
                <w:sz w:val="22"/>
              </w:rPr>
            </w:pPr>
            <w:r>
              <w:rPr>
                <w:rFonts w:hint="eastAsia" w:ascii="仿宋" w:hAnsi="仿宋" w:eastAsia="仿宋"/>
                <w:sz w:val="22"/>
              </w:rPr>
              <w:t>会员资金账户账号</w:t>
            </w:r>
          </w:p>
        </w:tc>
        <w:tc>
          <w:tcPr>
            <w:tcW w:w="3031" w:type="dxa"/>
            <w:gridSpan w:val="3"/>
            <w:tcBorders>
              <w:bottom w:val="single" w:color="auto" w:sz="4" w:space="0"/>
            </w:tcBorders>
          </w:tcPr>
          <w:p>
            <w:pPr>
              <w:spacing w:line="360" w:lineRule="auto"/>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0422" w:type="dxa"/>
            <w:gridSpan w:val="9"/>
            <w:tcBorders>
              <w:bottom w:val="double" w:color="auto" w:sz="4" w:space="0"/>
            </w:tcBorders>
          </w:tcPr>
          <w:p>
            <w:pPr>
              <w:spacing w:line="360" w:lineRule="auto"/>
              <w:ind w:firstLine="440" w:firstLineChars="200"/>
              <w:rPr>
                <w:rFonts w:ascii="仿宋" w:hAnsi="仿宋" w:eastAsia="仿宋"/>
                <w:sz w:val="22"/>
              </w:rPr>
            </w:pPr>
            <w:r>
              <w:rPr>
                <w:rFonts w:hint="eastAsia" w:ascii="仿宋" w:hAnsi="仿宋" w:eastAsia="仿宋"/>
                <w:sz w:val="22"/>
              </w:rPr>
              <w:t>我单位申请注销在上海票据交易所开立的上述会员资金账户。经核实本单位会员资金账户无待结算的在途资金，已结清与上海票据交易所的所有债权债务，会员资金账户状态正常，未涉及违法违规行为。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0422" w:type="dxa"/>
            <w:gridSpan w:val="9"/>
            <w:shd w:val="clear" w:color="auto" w:fill="D8D8D8" w:themeFill="background1" w:themeFillShade="D9"/>
            <w:vAlign w:val="center"/>
          </w:tcPr>
          <w:p>
            <w:pPr>
              <w:jc w:val="center"/>
              <w:rPr>
                <w:rFonts w:ascii="黑体" w:hAnsi="黑体" w:eastAsia="黑体"/>
                <w:sz w:val="24"/>
              </w:rPr>
            </w:pPr>
            <w:r>
              <w:rPr>
                <w:rFonts w:hint="eastAsia" w:ascii="黑体" w:hAnsi="黑体" w:eastAsia="黑体"/>
                <w:sz w:val="24"/>
              </w:rPr>
              <w:t>分支机构退出（数量可自行增减）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15" w:type="dxa"/>
            <w:gridSpan w:val="5"/>
          </w:tcPr>
          <w:p>
            <w:pPr>
              <w:spacing w:line="360" w:lineRule="auto"/>
              <w:jc w:val="center"/>
              <w:rPr>
                <w:rFonts w:ascii="仿宋" w:hAnsi="仿宋" w:eastAsia="仿宋"/>
                <w:sz w:val="22"/>
              </w:rPr>
            </w:pPr>
            <w:r>
              <w:rPr>
                <w:rFonts w:hint="eastAsia" w:ascii="仿宋" w:hAnsi="仿宋" w:eastAsia="仿宋"/>
                <w:sz w:val="22"/>
              </w:rPr>
              <w:t>申请退出机构（被承接机构）</w:t>
            </w:r>
          </w:p>
        </w:tc>
        <w:tc>
          <w:tcPr>
            <w:tcW w:w="5007" w:type="dxa"/>
            <w:gridSpan w:val="4"/>
          </w:tcPr>
          <w:p>
            <w:pPr>
              <w:spacing w:line="360" w:lineRule="auto"/>
              <w:jc w:val="center"/>
              <w:rPr>
                <w:rFonts w:ascii="仿宋" w:hAnsi="仿宋" w:eastAsia="仿宋"/>
                <w:sz w:val="22"/>
              </w:rPr>
            </w:pPr>
            <w:r>
              <w:rPr>
                <w:rFonts w:hint="eastAsia" w:ascii="仿宋" w:hAnsi="仿宋" w:eastAsia="仿宋"/>
                <w:sz w:val="22"/>
              </w:rPr>
              <w:t>承接机构（若有）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spacing w:line="360" w:lineRule="auto"/>
              <w:jc w:val="center"/>
              <w:rPr>
                <w:rFonts w:ascii="仿宋" w:hAnsi="仿宋" w:eastAsia="仿宋"/>
                <w:sz w:val="22"/>
              </w:rPr>
            </w:pPr>
            <w:r>
              <w:rPr>
                <w:rFonts w:hint="eastAsia" w:ascii="仿宋" w:hAnsi="仿宋" w:eastAsia="仿宋"/>
                <w:sz w:val="22"/>
              </w:rPr>
              <w:t>序号</w:t>
            </w:r>
          </w:p>
        </w:tc>
        <w:tc>
          <w:tcPr>
            <w:tcW w:w="2870" w:type="dxa"/>
            <w:gridSpan w:val="3"/>
          </w:tcPr>
          <w:p>
            <w:pPr>
              <w:spacing w:line="360" w:lineRule="auto"/>
              <w:jc w:val="center"/>
              <w:rPr>
                <w:rFonts w:ascii="仿宋" w:hAnsi="仿宋" w:eastAsia="仿宋"/>
                <w:sz w:val="22"/>
              </w:rPr>
            </w:pPr>
            <w:r>
              <w:rPr>
                <w:rFonts w:hint="eastAsia" w:ascii="仿宋" w:hAnsi="仿宋" w:eastAsia="仿宋"/>
                <w:sz w:val="22"/>
              </w:rPr>
              <w:t>全称</w:t>
            </w:r>
          </w:p>
        </w:tc>
        <w:tc>
          <w:tcPr>
            <w:tcW w:w="1832" w:type="dxa"/>
          </w:tcPr>
          <w:p>
            <w:pPr>
              <w:spacing w:line="360" w:lineRule="auto"/>
              <w:jc w:val="center"/>
              <w:rPr>
                <w:rFonts w:ascii="仿宋" w:hAnsi="仿宋" w:eastAsia="仿宋"/>
                <w:sz w:val="22"/>
              </w:rPr>
            </w:pPr>
            <w:r>
              <w:rPr>
                <w:rFonts w:hint="eastAsia" w:ascii="仿宋" w:hAnsi="仿宋" w:eastAsia="仿宋"/>
                <w:sz w:val="22"/>
              </w:rPr>
              <w:t>大额行号</w:t>
            </w:r>
          </w:p>
        </w:tc>
        <w:tc>
          <w:tcPr>
            <w:tcW w:w="3262" w:type="dxa"/>
            <w:gridSpan w:val="3"/>
          </w:tcPr>
          <w:p>
            <w:pPr>
              <w:spacing w:line="360" w:lineRule="auto"/>
              <w:jc w:val="center"/>
              <w:rPr>
                <w:rFonts w:ascii="仿宋" w:hAnsi="仿宋" w:eastAsia="仿宋"/>
                <w:sz w:val="22"/>
              </w:rPr>
            </w:pPr>
            <w:r>
              <w:rPr>
                <w:rFonts w:hint="eastAsia" w:ascii="仿宋" w:hAnsi="仿宋" w:eastAsia="仿宋"/>
                <w:sz w:val="22"/>
              </w:rPr>
              <w:t>全称</w:t>
            </w:r>
          </w:p>
        </w:tc>
        <w:tc>
          <w:tcPr>
            <w:tcW w:w="1745" w:type="dxa"/>
          </w:tcPr>
          <w:p>
            <w:pPr>
              <w:spacing w:line="360" w:lineRule="auto"/>
              <w:jc w:val="center"/>
              <w:rPr>
                <w:rFonts w:ascii="仿宋" w:hAnsi="仿宋" w:eastAsia="仿宋"/>
                <w:sz w:val="22"/>
              </w:rPr>
            </w:pPr>
            <w:r>
              <w:rPr>
                <w:rFonts w:hint="eastAsia" w:ascii="仿宋" w:hAnsi="仿宋" w:eastAsia="仿宋"/>
                <w:sz w:val="22"/>
              </w:rPr>
              <w:t>大额行号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spacing w:line="360" w:lineRule="auto"/>
              <w:jc w:val="center"/>
              <w:rPr>
                <w:rFonts w:ascii="仿宋" w:hAnsi="仿宋" w:eastAsia="仿宋"/>
                <w:sz w:val="22"/>
              </w:rPr>
            </w:pPr>
            <w:r>
              <w:rPr>
                <w:rFonts w:hint="eastAsia" w:ascii="仿宋" w:hAnsi="仿宋" w:eastAsia="仿宋"/>
                <w:sz w:val="22"/>
              </w:rPr>
              <w:t>1</w:t>
            </w:r>
          </w:p>
        </w:tc>
        <w:tc>
          <w:tcPr>
            <w:tcW w:w="2870" w:type="dxa"/>
            <w:gridSpan w:val="3"/>
          </w:tcPr>
          <w:p>
            <w:pPr>
              <w:spacing w:line="360" w:lineRule="auto"/>
              <w:jc w:val="center"/>
              <w:rPr>
                <w:rFonts w:ascii="仿宋" w:hAnsi="仿宋" w:eastAsia="仿宋"/>
                <w:sz w:val="22"/>
              </w:rPr>
            </w:pPr>
          </w:p>
        </w:tc>
        <w:tc>
          <w:tcPr>
            <w:tcW w:w="1832" w:type="dxa"/>
          </w:tcPr>
          <w:p>
            <w:pPr>
              <w:spacing w:line="360" w:lineRule="auto"/>
              <w:jc w:val="center"/>
              <w:rPr>
                <w:rFonts w:ascii="仿宋" w:hAnsi="仿宋" w:eastAsia="仿宋"/>
                <w:sz w:val="22"/>
              </w:rPr>
            </w:pPr>
          </w:p>
        </w:tc>
        <w:tc>
          <w:tcPr>
            <w:tcW w:w="3262" w:type="dxa"/>
            <w:gridSpan w:val="3"/>
          </w:tcPr>
          <w:p>
            <w:pPr>
              <w:spacing w:line="360" w:lineRule="auto"/>
              <w:jc w:val="center"/>
              <w:rPr>
                <w:rFonts w:ascii="仿宋" w:hAnsi="仿宋" w:eastAsia="仿宋"/>
                <w:sz w:val="22"/>
              </w:rPr>
            </w:pPr>
          </w:p>
        </w:tc>
        <w:tc>
          <w:tcPr>
            <w:tcW w:w="1745" w:type="dxa"/>
          </w:tcPr>
          <w:p>
            <w:pPr>
              <w:spacing w:line="360" w:lineRule="auto"/>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spacing w:line="360" w:lineRule="auto"/>
              <w:jc w:val="center"/>
              <w:rPr>
                <w:rFonts w:ascii="仿宋" w:hAnsi="仿宋" w:eastAsia="仿宋"/>
                <w:sz w:val="22"/>
              </w:rPr>
            </w:pPr>
            <w:r>
              <w:rPr>
                <w:rFonts w:hint="eastAsia" w:ascii="仿宋" w:hAnsi="仿宋" w:eastAsia="仿宋"/>
                <w:sz w:val="22"/>
              </w:rPr>
              <w:t>2</w:t>
            </w:r>
          </w:p>
        </w:tc>
        <w:tc>
          <w:tcPr>
            <w:tcW w:w="2870" w:type="dxa"/>
            <w:gridSpan w:val="3"/>
          </w:tcPr>
          <w:p>
            <w:pPr>
              <w:spacing w:line="360" w:lineRule="auto"/>
              <w:jc w:val="center"/>
              <w:rPr>
                <w:rFonts w:ascii="仿宋" w:hAnsi="仿宋" w:eastAsia="仿宋"/>
                <w:sz w:val="22"/>
              </w:rPr>
            </w:pPr>
          </w:p>
        </w:tc>
        <w:tc>
          <w:tcPr>
            <w:tcW w:w="1832" w:type="dxa"/>
          </w:tcPr>
          <w:p>
            <w:pPr>
              <w:spacing w:line="360" w:lineRule="auto"/>
              <w:jc w:val="center"/>
              <w:rPr>
                <w:rFonts w:ascii="仿宋" w:hAnsi="仿宋" w:eastAsia="仿宋"/>
                <w:sz w:val="22"/>
              </w:rPr>
            </w:pPr>
          </w:p>
        </w:tc>
        <w:tc>
          <w:tcPr>
            <w:tcW w:w="3262" w:type="dxa"/>
            <w:gridSpan w:val="3"/>
          </w:tcPr>
          <w:p>
            <w:pPr>
              <w:spacing w:line="360" w:lineRule="auto"/>
              <w:jc w:val="center"/>
              <w:rPr>
                <w:rFonts w:ascii="仿宋" w:hAnsi="仿宋" w:eastAsia="仿宋"/>
                <w:sz w:val="22"/>
              </w:rPr>
            </w:pPr>
          </w:p>
        </w:tc>
        <w:tc>
          <w:tcPr>
            <w:tcW w:w="1745" w:type="dxa"/>
          </w:tcPr>
          <w:p>
            <w:pPr>
              <w:spacing w:line="360" w:lineRule="auto"/>
              <w:jc w:val="center"/>
              <w:rPr>
                <w:rFonts w:ascii="仿宋" w:hAnsi="仿宋" w:eastAsia="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22" w:type="dxa"/>
            <w:gridSpan w:val="9"/>
            <w:tcBorders>
              <w:bottom w:val="double" w:color="auto" w:sz="4" w:space="0"/>
            </w:tcBorders>
          </w:tcPr>
          <w:p>
            <w:pPr>
              <w:spacing w:line="360" w:lineRule="auto"/>
              <w:ind w:firstLine="440" w:firstLineChars="200"/>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我单位已知晓承接或退出票据业务系统将导致被承接机构无法再办理业务，承担因上述分支机构</w:t>
            </w:r>
            <w:r>
              <w:rPr>
                <w:rFonts w:hint="eastAsia" w:ascii="仿宋" w:hAnsi="仿宋" w:eastAsia="仿宋"/>
                <w:sz w:val="22"/>
              </w:rPr>
              <w:t>承接</w:t>
            </w:r>
            <w:r>
              <w:rPr>
                <w:rFonts w:hint="eastAsia" w:ascii="仿宋" w:hAnsi="仿宋" w:eastAsia="仿宋" w:cs="仿宋"/>
                <w:color w:val="000000"/>
                <w:kern w:val="0"/>
                <w:sz w:val="22"/>
                <w:szCs w:val="22"/>
                <w:lang w:bidi="ar"/>
              </w:rPr>
              <w:t>或退出产生的全部法律责任，请上海票据交易所予以办理。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422" w:type="dxa"/>
            <w:gridSpan w:val="9"/>
            <w:tcBorders>
              <w:top w:val="double" w:color="auto" w:sz="4" w:space="0"/>
            </w:tcBorders>
            <w:shd w:val="clear" w:color="auto" w:fill="D8D8D8" w:themeFill="background1" w:themeFillShade="D9"/>
            <w:vAlign w:val="center"/>
          </w:tcPr>
          <w:p>
            <w:pPr>
              <w:widowControl/>
              <w:spacing w:line="360" w:lineRule="auto"/>
              <w:jc w:val="center"/>
              <w:textAlignment w:val="center"/>
              <w:rPr>
                <w:rFonts w:ascii="仿宋" w:hAnsi="仿宋" w:eastAsia="仿宋" w:cs="仿宋"/>
                <w:color w:val="000000"/>
                <w:kern w:val="0"/>
                <w:sz w:val="22"/>
                <w:lang w:bidi="ar"/>
              </w:rPr>
            </w:pPr>
            <w:r>
              <w:rPr>
                <w:rFonts w:hint="eastAsia" w:ascii="黑体" w:hAnsi="黑体" w:eastAsia="黑体"/>
                <w:sz w:val="24"/>
              </w:rPr>
              <w:t>非法人产品退出（数量可自行增减）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序号</w:t>
            </w:r>
          </w:p>
        </w:tc>
        <w:tc>
          <w:tcPr>
            <w:tcW w:w="4702" w:type="dxa"/>
            <w:gridSpan w:val="4"/>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非法人产品全称</w:t>
            </w:r>
          </w:p>
        </w:tc>
        <w:tc>
          <w:tcPr>
            <w:tcW w:w="5007" w:type="dxa"/>
            <w:gridSpan w:val="4"/>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会员资金账户账号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1</w:t>
            </w:r>
          </w:p>
        </w:tc>
        <w:tc>
          <w:tcPr>
            <w:tcW w:w="4702" w:type="dxa"/>
            <w:gridSpan w:val="4"/>
          </w:tcPr>
          <w:p>
            <w:pPr>
              <w:widowControl/>
              <w:spacing w:line="360" w:lineRule="auto"/>
              <w:jc w:val="left"/>
              <w:textAlignment w:val="center"/>
              <w:rPr>
                <w:rFonts w:ascii="仿宋" w:hAnsi="仿宋" w:eastAsia="仿宋" w:cs="仿宋"/>
                <w:color w:val="000000"/>
                <w:kern w:val="0"/>
                <w:sz w:val="22"/>
                <w:lang w:bidi="ar"/>
              </w:rPr>
            </w:pPr>
          </w:p>
        </w:tc>
        <w:tc>
          <w:tcPr>
            <w:tcW w:w="5007" w:type="dxa"/>
            <w:gridSpan w:val="4"/>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0422" w:type="dxa"/>
            <w:gridSpan w:val="9"/>
          </w:tcPr>
          <w:p>
            <w:pPr>
              <w:widowControl/>
              <w:jc w:val="left"/>
              <w:textAlignment w:val="center"/>
              <w:rPr>
                <w:rFonts w:ascii="仿宋" w:hAnsi="仿宋" w:eastAsia="仿宋" w:cs="仿宋"/>
                <w:color w:val="000000"/>
                <w:kern w:val="0"/>
                <w:sz w:val="22"/>
                <w:lang w:bidi="ar"/>
              </w:rPr>
            </w:pPr>
            <w:r>
              <w:rPr>
                <w:rFonts w:hint="eastAsia" w:ascii="仿宋" w:hAnsi="仿宋" w:eastAsia="仿宋"/>
                <w:sz w:val="22"/>
              </w:rPr>
              <w:t>我单位申请注销在上海票据交易所开立的上述会员资金账户。经核实本单位会员资金账户无待结算的在途资金，已结清与上海票据交易所的所有债权债务，会员资金账户状态正常，未涉及违法违规行为。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3" w:type="dxa"/>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2</w:t>
            </w:r>
          </w:p>
        </w:tc>
        <w:tc>
          <w:tcPr>
            <w:tcW w:w="4702" w:type="dxa"/>
            <w:gridSpan w:val="4"/>
          </w:tcPr>
          <w:p>
            <w:pPr>
              <w:widowControl/>
              <w:spacing w:line="360" w:lineRule="auto"/>
              <w:jc w:val="left"/>
              <w:textAlignment w:val="center"/>
              <w:rPr>
                <w:rFonts w:ascii="仿宋" w:hAnsi="仿宋" w:eastAsia="仿宋" w:cs="仿宋"/>
                <w:color w:val="000000"/>
                <w:kern w:val="0"/>
                <w:sz w:val="22"/>
                <w:lang w:bidi="ar"/>
              </w:rPr>
            </w:pPr>
          </w:p>
        </w:tc>
        <w:tc>
          <w:tcPr>
            <w:tcW w:w="5007" w:type="dxa"/>
            <w:gridSpan w:val="4"/>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0422" w:type="dxa"/>
            <w:gridSpan w:val="9"/>
            <w:tcBorders>
              <w:bottom w:val="double" w:color="auto" w:sz="4" w:space="0"/>
            </w:tcBorders>
          </w:tcPr>
          <w:p>
            <w:pPr>
              <w:widowControl/>
              <w:jc w:val="left"/>
              <w:textAlignment w:val="center"/>
              <w:rPr>
                <w:rFonts w:ascii="仿宋" w:hAnsi="仿宋" w:eastAsia="仿宋" w:cs="仿宋"/>
                <w:color w:val="000000"/>
                <w:kern w:val="0"/>
                <w:sz w:val="22"/>
                <w:lang w:bidi="ar"/>
              </w:rPr>
            </w:pPr>
            <w:r>
              <w:rPr>
                <w:rFonts w:hint="eastAsia" w:ascii="仿宋" w:hAnsi="仿宋" w:eastAsia="仿宋"/>
                <w:sz w:val="22"/>
              </w:rPr>
              <w:t>我单位申请注销在上海票据交易所开立的上述会员资金账户。经核实本单位会员资金账户无待结算的在途资金，已结清与上海票据交易所的所有债权债务，会员资金账户状态正常，未涉及违法违规行为。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422" w:type="dxa"/>
            <w:gridSpan w:val="9"/>
            <w:tcBorders>
              <w:top w:val="double" w:color="auto" w:sz="4" w:space="0"/>
              <w:bottom w:val="single" w:color="auto" w:sz="4" w:space="0"/>
            </w:tcBorders>
            <w:shd w:val="clear" w:color="auto" w:fill="D8D8D8" w:themeFill="background1" w:themeFillShade="D9"/>
            <w:vAlign w:val="center"/>
          </w:tcPr>
          <w:p>
            <w:pPr>
              <w:widowControl/>
              <w:spacing w:line="360" w:lineRule="auto"/>
              <w:jc w:val="center"/>
              <w:textAlignment w:val="center"/>
              <w:rPr>
                <w:rFonts w:ascii="黑体" w:hAnsi="黑体" w:eastAsia="黑体"/>
                <w:sz w:val="24"/>
              </w:rPr>
            </w:pPr>
            <w:r>
              <w:rPr>
                <w:rFonts w:hint="eastAsia" w:ascii="黑体" w:hAnsi="黑体" w:eastAsia="黑体"/>
                <w:sz w:val="24"/>
              </w:rPr>
              <w:t>“票付通”业务B</w:t>
            </w:r>
            <w:r>
              <w:rPr>
                <w:rFonts w:ascii="黑体" w:hAnsi="黑体" w:eastAsia="黑体"/>
                <w:sz w:val="24"/>
              </w:rPr>
              <w:t>2</w:t>
            </w:r>
            <w:r>
              <w:rPr>
                <w:rFonts w:hint="eastAsia" w:ascii="黑体" w:hAnsi="黑体" w:eastAsia="黑体"/>
                <w:sz w:val="24"/>
              </w:rPr>
              <w:t>B平台解除合作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22" w:type="dxa"/>
            <w:gridSpan w:val="9"/>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合作金融机构信息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单位全称</w:t>
            </w:r>
          </w:p>
        </w:tc>
        <w:tc>
          <w:tcPr>
            <w:tcW w:w="8400" w:type="dxa"/>
            <w:gridSpan w:val="7"/>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联系人</w:t>
            </w:r>
          </w:p>
        </w:tc>
        <w:tc>
          <w:tcPr>
            <w:tcW w:w="3393"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c>
          <w:tcPr>
            <w:tcW w:w="1976" w:type="dxa"/>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eastAsia="zh-CN" w:bidi="ar"/>
              </w:rPr>
              <w:t>座机、工作</w:t>
            </w:r>
            <w:r>
              <w:rPr>
                <w:rFonts w:hint="eastAsia" w:ascii="仿宋" w:hAnsi="仿宋" w:eastAsia="仿宋" w:cs="仿宋"/>
                <w:color w:val="000000"/>
                <w:kern w:val="0"/>
                <w:sz w:val="22"/>
                <w:lang w:bidi="ar"/>
              </w:rPr>
              <w:t>手机</w:t>
            </w:r>
          </w:p>
        </w:tc>
        <w:tc>
          <w:tcPr>
            <w:tcW w:w="3031"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22" w:type="dxa"/>
            <w:gridSpan w:val="9"/>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B</w:t>
            </w:r>
            <w:r>
              <w:rPr>
                <w:rFonts w:ascii="仿宋" w:hAnsi="仿宋" w:eastAsia="仿宋" w:cs="仿宋"/>
                <w:color w:val="000000"/>
                <w:kern w:val="0"/>
                <w:sz w:val="22"/>
                <w:lang w:bidi="ar"/>
              </w:rPr>
              <w:t>2</w:t>
            </w:r>
            <w:r>
              <w:rPr>
                <w:rFonts w:hint="eastAsia" w:ascii="仿宋" w:hAnsi="仿宋" w:eastAsia="仿宋" w:cs="仿宋"/>
                <w:color w:val="000000"/>
                <w:kern w:val="0"/>
                <w:sz w:val="22"/>
                <w:lang w:bidi="ar"/>
              </w:rPr>
              <w:t>B平台信息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B</w:t>
            </w:r>
            <w:r>
              <w:rPr>
                <w:rFonts w:ascii="仿宋" w:hAnsi="仿宋" w:eastAsia="仿宋" w:cs="仿宋"/>
                <w:color w:val="000000"/>
                <w:kern w:val="0"/>
                <w:sz w:val="22"/>
                <w:lang w:bidi="ar"/>
              </w:rPr>
              <w:t>2</w:t>
            </w:r>
            <w:r>
              <w:rPr>
                <w:rFonts w:hint="eastAsia" w:ascii="仿宋" w:hAnsi="仿宋" w:eastAsia="仿宋" w:cs="仿宋"/>
                <w:color w:val="000000"/>
                <w:kern w:val="0"/>
                <w:sz w:val="22"/>
                <w:lang w:bidi="ar"/>
              </w:rPr>
              <w:t>B平台名称</w:t>
            </w:r>
          </w:p>
        </w:tc>
        <w:tc>
          <w:tcPr>
            <w:tcW w:w="8400" w:type="dxa"/>
            <w:gridSpan w:val="7"/>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B</w:t>
            </w:r>
            <w:r>
              <w:rPr>
                <w:rFonts w:ascii="仿宋" w:hAnsi="仿宋" w:eastAsia="仿宋" w:cs="仿宋"/>
                <w:color w:val="000000"/>
                <w:kern w:val="0"/>
                <w:sz w:val="22"/>
                <w:lang w:bidi="ar"/>
              </w:rPr>
              <w:t>2</w:t>
            </w:r>
            <w:r>
              <w:rPr>
                <w:rFonts w:hint="eastAsia" w:ascii="仿宋" w:hAnsi="仿宋" w:eastAsia="仿宋" w:cs="仿宋"/>
                <w:color w:val="000000"/>
                <w:kern w:val="0"/>
                <w:sz w:val="22"/>
                <w:lang w:bidi="ar"/>
              </w:rPr>
              <w:t>B平台主页地址</w:t>
            </w:r>
          </w:p>
        </w:tc>
        <w:tc>
          <w:tcPr>
            <w:tcW w:w="8400" w:type="dxa"/>
            <w:gridSpan w:val="7"/>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所属公司全称</w:t>
            </w:r>
          </w:p>
        </w:tc>
        <w:tc>
          <w:tcPr>
            <w:tcW w:w="3393"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c>
          <w:tcPr>
            <w:tcW w:w="1976" w:type="dxa"/>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法定代表人</w:t>
            </w:r>
          </w:p>
        </w:tc>
        <w:tc>
          <w:tcPr>
            <w:tcW w:w="3031"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2" w:type="dxa"/>
            <w:gridSpan w:val="2"/>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联系人</w:t>
            </w:r>
          </w:p>
        </w:tc>
        <w:tc>
          <w:tcPr>
            <w:tcW w:w="3393"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c>
          <w:tcPr>
            <w:tcW w:w="1976" w:type="dxa"/>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eastAsia="zh-CN" w:bidi="ar"/>
              </w:rPr>
              <w:t>座机、工作</w:t>
            </w:r>
            <w:r>
              <w:rPr>
                <w:rFonts w:hint="eastAsia" w:ascii="仿宋" w:hAnsi="仿宋" w:eastAsia="仿宋" w:cs="仿宋"/>
                <w:color w:val="000000"/>
                <w:kern w:val="0"/>
                <w:sz w:val="22"/>
                <w:lang w:bidi="ar"/>
              </w:rPr>
              <w:t>手机</w:t>
            </w:r>
          </w:p>
        </w:tc>
        <w:tc>
          <w:tcPr>
            <w:tcW w:w="3031" w:type="dxa"/>
            <w:gridSpan w:val="3"/>
            <w:tcBorders>
              <w:top w:val="single" w:color="auto" w:sz="4" w:space="0"/>
              <w:bottom w:val="single" w:color="auto" w:sz="4" w:space="0"/>
            </w:tcBorders>
          </w:tcPr>
          <w:p>
            <w:pPr>
              <w:widowControl/>
              <w:spacing w:line="360" w:lineRule="auto"/>
              <w:jc w:val="left"/>
              <w:textAlignment w:val="center"/>
              <w:rPr>
                <w:rFonts w:ascii="仿宋" w:hAnsi="仿宋" w:eastAsia="仿宋" w:cs="仿宋"/>
                <w:color w:val="000000"/>
                <w:kern w:val="0"/>
                <w:sz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22" w:type="dxa"/>
            <w:gridSpan w:val="9"/>
            <w:tcBorders>
              <w:top w:val="single" w:color="auto" w:sz="4" w:space="0"/>
              <w:bottom w:val="single" w:color="auto" w:sz="4" w:space="0"/>
            </w:tcBorders>
          </w:tcPr>
          <w:p>
            <w:pPr>
              <w:widowControl/>
              <w:spacing w:line="360" w:lineRule="auto"/>
              <w:jc w:val="center"/>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解除合作申报信息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15" w:type="dxa"/>
            <w:gridSpan w:val="5"/>
            <w:tcBorders>
              <w:top w:val="single" w:color="auto" w:sz="4" w:space="0"/>
              <w:bottom w:val="double" w:color="auto" w:sz="4" w:space="0"/>
            </w:tcBorders>
          </w:tcPr>
          <w:p>
            <w:pPr>
              <w:widowControl/>
              <w:ind w:firstLine="440" w:firstLineChars="200"/>
              <w:jc w:val="left"/>
              <w:textAlignment w:val="center"/>
              <w:rPr>
                <w:rFonts w:ascii="仿宋" w:hAnsi="仿宋" w:eastAsia="仿宋"/>
                <w:sz w:val="22"/>
                <w:szCs w:val="28"/>
              </w:rPr>
            </w:pPr>
            <w:r>
              <w:rPr>
                <w:rFonts w:hint="eastAsia" w:ascii="仿宋" w:hAnsi="仿宋" w:eastAsia="仿宋"/>
                <w:sz w:val="22"/>
                <w:szCs w:val="28"/>
              </w:rPr>
              <w:t>我单位已与该B2B平台协商解除“票付通”业务的合作关系，特申报关闭相关“票付通”业务功能权限。对于已发起线上票据支付指令的存量业务，我单位将继续提供后续服务。</w:t>
            </w:r>
          </w:p>
          <w:p>
            <w:pPr>
              <w:widowControl/>
              <w:ind w:firstLine="440" w:firstLineChars="200"/>
              <w:jc w:val="left"/>
              <w:textAlignment w:val="center"/>
              <w:rPr>
                <w:rFonts w:ascii="仿宋" w:hAnsi="仿宋" w:eastAsia="仿宋"/>
                <w:sz w:val="22"/>
                <w:szCs w:val="28"/>
              </w:rPr>
            </w:pPr>
          </w:p>
          <w:p>
            <w:pPr>
              <w:widowControl/>
              <w:ind w:firstLine="440" w:firstLineChars="200"/>
              <w:jc w:val="left"/>
              <w:textAlignment w:val="center"/>
              <w:rPr>
                <w:rFonts w:ascii="仿宋" w:hAnsi="仿宋" w:eastAsia="仿宋"/>
                <w:sz w:val="22"/>
                <w:szCs w:val="28"/>
              </w:rPr>
            </w:pPr>
          </w:p>
          <w:p>
            <w:pPr>
              <w:widowControl/>
              <w:ind w:firstLine="440" w:firstLineChars="200"/>
              <w:jc w:val="left"/>
              <w:textAlignment w:val="center"/>
              <w:rPr>
                <w:rFonts w:ascii="仿宋" w:hAnsi="仿宋" w:eastAsia="仿宋"/>
                <w:sz w:val="22"/>
                <w:szCs w:val="28"/>
              </w:rPr>
            </w:pPr>
            <w:r>
              <w:rPr>
                <w:rFonts w:hint="eastAsia" w:ascii="仿宋" w:hAnsi="仿宋" w:eastAsia="仿宋"/>
                <w:sz w:val="22"/>
                <w:szCs w:val="28"/>
              </w:rPr>
              <w:t>（加盖公章）</w:t>
            </w:r>
          </w:p>
          <w:p>
            <w:pPr>
              <w:widowControl/>
              <w:ind w:firstLine="440" w:firstLineChars="200"/>
              <w:jc w:val="left"/>
              <w:textAlignment w:val="center"/>
              <w:rPr>
                <w:rFonts w:ascii="仿宋" w:hAnsi="仿宋" w:eastAsia="仿宋" w:cs="仿宋"/>
                <w:color w:val="000000"/>
                <w:kern w:val="0"/>
                <w:sz w:val="22"/>
                <w:lang w:bidi="ar"/>
              </w:rPr>
            </w:pPr>
          </w:p>
          <w:p>
            <w:pPr>
              <w:widowControl/>
              <w:ind w:firstLine="440" w:firstLineChars="200"/>
              <w:jc w:val="left"/>
              <w:textAlignment w:val="center"/>
              <w:rPr>
                <w:rFonts w:ascii="仿宋" w:hAnsi="仿宋" w:eastAsia="仿宋" w:cs="仿宋"/>
                <w:color w:val="000000"/>
                <w:kern w:val="0"/>
                <w:sz w:val="22"/>
                <w:lang w:bidi="ar"/>
              </w:rPr>
            </w:pPr>
          </w:p>
          <w:p>
            <w:pPr>
              <w:widowControl/>
              <w:ind w:firstLine="440" w:firstLineChars="200"/>
              <w:jc w:val="left"/>
              <w:textAlignment w:val="center"/>
              <w:rPr>
                <w:rFonts w:ascii="仿宋" w:hAnsi="仿宋" w:eastAsia="仿宋" w:cs="仿宋"/>
                <w:color w:val="000000"/>
                <w:kern w:val="0"/>
                <w:sz w:val="22"/>
                <w:lang w:bidi="ar"/>
              </w:rPr>
            </w:pPr>
          </w:p>
        </w:tc>
        <w:tc>
          <w:tcPr>
            <w:tcW w:w="5007" w:type="dxa"/>
            <w:gridSpan w:val="4"/>
            <w:tcBorders>
              <w:top w:val="single" w:color="auto" w:sz="4" w:space="0"/>
              <w:bottom w:val="double" w:color="auto" w:sz="4" w:space="0"/>
            </w:tcBorders>
          </w:tcPr>
          <w:p>
            <w:pPr>
              <w:widowControl/>
              <w:ind w:firstLine="440" w:firstLineChars="200"/>
              <w:jc w:val="left"/>
              <w:textAlignment w:val="center"/>
              <w:rPr>
                <w:rFonts w:ascii="仿宋" w:hAnsi="仿宋" w:eastAsia="仿宋"/>
                <w:sz w:val="22"/>
                <w:szCs w:val="28"/>
              </w:rPr>
            </w:pPr>
            <w:r>
              <w:rPr>
                <w:rFonts w:hint="eastAsia" w:ascii="仿宋" w:hAnsi="仿宋" w:eastAsia="仿宋"/>
                <w:sz w:val="22"/>
                <w:szCs w:val="28"/>
              </w:rPr>
              <w:t>我单位已与该金融机构协商解除“票付通”业务的合作关系，特申报关闭相关“票付通”业务功能权限。对于已发起线上票据支付指令的存量业务，我单位将确保其有序完结。</w:t>
            </w:r>
          </w:p>
          <w:p>
            <w:pPr>
              <w:widowControl/>
              <w:ind w:firstLine="440" w:firstLineChars="200"/>
              <w:jc w:val="left"/>
              <w:textAlignment w:val="center"/>
              <w:rPr>
                <w:rFonts w:ascii="仿宋" w:hAnsi="仿宋" w:eastAsia="仿宋"/>
                <w:sz w:val="22"/>
                <w:szCs w:val="28"/>
              </w:rPr>
            </w:pPr>
          </w:p>
          <w:p>
            <w:pPr>
              <w:widowControl/>
              <w:ind w:firstLine="440" w:firstLineChars="200"/>
              <w:jc w:val="left"/>
              <w:textAlignment w:val="center"/>
              <w:rPr>
                <w:rFonts w:ascii="仿宋" w:hAnsi="仿宋" w:eastAsia="仿宋"/>
                <w:sz w:val="22"/>
                <w:szCs w:val="28"/>
              </w:rPr>
            </w:pPr>
          </w:p>
          <w:p>
            <w:pPr>
              <w:widowControl/>
              <w:ind w:firstLine="440" w:firstLineChars="200"/>
              <w:jc w:val="left"/>
              <w:textAlignment w:val="center"/>
              <w:rPr>
                <w:rFonts w:ascii="仿宋" w:hAnsi="仿宋" w:eastAsia="仿宋"/>
                <w:sz w:val="22"/>
                <w:szCs w:val="28"/>
              </w:rPr>
            </w:pPr>
            <w:r>
              <w:rPr>
                <w:rFonts w:hint="eastAsia" w:ascii="仿宋" w:hAnsi="仿宋" w:eastAsia="仿宋"/>
                <w:sz w:val="22"/>
                <w:szCs w:val="28"/>
              </w:rPr>
              <w:t>（加盖公章）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422" w:type="dxa"/>
            <w:gridSpan w:val="9"/>
            <w:tcBorders>
              <w:top w:val="double" w:color="auto" w:sz="4" w:space="0"/>
            </w:tcBorders>
            <w:shd w:val="clear" w:color="auto" w:fill="D8D8D8" w:themeFill="background1" w:themeFillShade="D9"/>
            <w:vAlign w:val="center"/>
          </w:tcPr>
          <w:p>
            <w:pPr>
              <w:widowControl/>
              <w:spacing w:line="360" w:lineRule="auto"/>
              <w:jc w:val="center"/>
              <w:textAlignment w:val="center"/>
              <w:rPr>
                <w:rFonts w:ascii="黑体" w:hAnsi="黑体" w:eastAsia="黑体"/>
                <w:sz w:val="24"/>
              </w:rPr>
            </w:pPr>
            <w:r>
              <w:rPr>
                <w:rFonts w:hint="eastAsia" w:ascii="黑体" w:hAnsi="黑体" w:eastAsia="黑体"/>
                <w:sz w:val="24"/>
              </w:rPr>
              <w:t>“供应链票据”业务退出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6" w:hRule="atLeast"/>
        </w:trPr>
        <w:tc>
          <w:tcPr>
            <w:tcW w:w="10422" w:type="dxa"/>
            <w:gridSpan w:val="9"/>
          </w:tcPr>
          <w:p>
            <w:pPr>
              <w:rPr>
                <w:rFonts w:ascii="仿宋" w:hAnsi="仿宋" w:eastAsia="仿宋"/>
                <w:sz w:val="22"/>
              </w:rPr>
            </w:pPr>
            <w:r>
              <w:rPr>
                <w:rFonts w:hint="eastAsia" w:ascii="仿宋" w:hAnsi="仿宋" w:eastAsia="仿宋"/>
                <w:sz w:val="22"/>
              </w:rPr>
              <w:t>（请填写申请事项具体内容及理由）</w:t>
            </w:r>
          </w:p>
          <w:p>
            <w:pPr>
              <w:ind w:firstLine="440" w:firstLineChars="200"/>
              <w:rPr>
                <w:rFonts w:ascii="仿宋" w:hAnsi="仿宋" w:eastAsia="仿宋" w:cs="仿宋"/>
                <w:color w:val="000000"/>
                <w:kern w:val="0"/>
                <w:sz w:val="22"/>
                <w:lang w:bidi="ar"/>
              </w:rPr>
            </w:pPr>
          </w:p>
          <w:p>
            <w:pPr>
              <w:ind w:firstLine="440" w:firstLineChars="200"/>
              <w:rPr>
                <w:rFonts w:ascii="仿宋" w:hAnsi="仿宋" w:eastAsia="仿宋" w:cs="仿宋"/>
                <w:color w:val="000000"/>
                <w:kern w:val="0"/>
                <w:sz w:val="22"/>
                <w:lang w:bidi="ar"/>
              </w:rPr>
            </w:pPr>
          </w:p>
          <w:p>
            <w:pPr>
              <w:ind w:firstLine="440" w:firstLineChars="200"/>
              <w:rPr>
                <w:rFonts w:ascii="仿宋" w:hAnsi="仿宋" w:eastAsia="仿宋" w:cs="仿宋"/>
                <w:color w:val="000000"/>
                <w:kern w:val="0"/>
                <w:sz w:val="22"/>
                <w:lang w:bidi="ar"/>
              </w:rPr>
            </w:pPr>
            <w:r>
              <w:rPr>
                <w:rFonts w:hint="eastAsia" w:ascii="仿宋" w:hAnsi="仿宋" w:eastAsia="仿宋" w:cs="仿宋"/>
                <w:color w:val="000000"/>
                <w:kern w:val="0"/>
                <w:sz w:val="22"/>
                <w:lang w:bidi="ar"/>
              </w:rPr>
              <w:t>1、因</w:t>
            </w:r>
            <w:r>
              <w:rPr>
                <w:rFonts w:hint="eastAsia" w:ascii="仿宋" w:hAnsi="仿宋" w:eastAsia="仿宋" w:cs="仿宋"/>
                <w:color w:val="000000"/>
                <w:kern w:val="0"/>
                <w:sz w:val="22"/>
                <w:u w:val="single"/>
                <w:lang w:bidi="ar"/>
              </w:rPr>
              <w:t xml:space="preserve">                                              （填写理由）</w:t>
            </w:r>
            <w:r>
              <w:rPr>
                <w:rFonts w:hint="eastAsia" w:ascii="仿宋" w:hAnsi="仿宋" w:eastAsia="仿宋" w:cs="仿宋"/>
                <w:color w:val="000000"/>
                <w:kern w:val="0"/>
                <w:sz w:val="22"/>
                <w:lang w:bidi="ar"/>
              </w:rPr>
              <w:t>，我单位申请终止与票交所的供应链票据业务合作关系。</w:t>
            </w:r>
          </w:p>
          <w:p>
            <w:pPr>
              <w:ind w:firstLine="440" w:firstLineChars="200"/>
              <w:rPr>
                <w:rFonts w:ascii="仿宋" w:hAnsi="仿宋" w:eastAsia="仿宋" w:cs="仿宋"/>
                <w:color w:val="000000"/>
                <w:kern w:val="0"/>
                <w:sz w:val="22"/>
                <w:lang w:bidi="ar"/>
              </w:rPr>
            </w:pPr>
          </w:p>
          <w:p>
            <w:pPr>
              <w:numPr>
                <w:ilvl w:val="255"/>
                <w:numId w:val="0"/>
              </w:numPr>
              <w:ind w:firstLine="440" w:firstLineChars="200"/>
              <w:jc w:val="left"/>
              <w:textAlignment w:val="center"/>
              <w:rPr>
                <w:rFonts w:ascii="仿宋" w:hAnsi="仿宋" w:eastAsia="仿宋" w:cs="仿宋"/>
                <w:color w:val="000000"/>
                <w:kern w:val="0"/>
                <w:sz w:val="22"/>
                <w:lang w:bidi="ar"/>
              </w:rPr>
            </w:pPr>
            <w:r>
              <w:rPr>
                <w:rFonts w:hint="eastAsia" w:ascii="仿宋" w:hAnsi="仿宋" w:eastAsia="仿宋" w:cs="仿宋"/>
                <w:color w:val="000000"/>
                <w:kern w:val="0"/>
                <w:sz w:val="22"/>
                <w:lang w:bidi="ar"/>
              </w:rPr>
              <w:t>2、我单位申请关闭供应链票据相关业务功能权限，承诺在办理退出手续期间，继续处理存量业务直至业务完结，并承担由此产生的一切法律责任及后果。</w:t>
            </w:r>
          </w:p>
          <w:p>
            <w:pPr>
              <w:jc w:val="left"/>
              <w:textAlignment w:val="center"/>
              <w:rPr>
                <w:rFonts w:ascii="仿宋" w:hAnsi="仿宋" w:eastAsia="仿宋" w:cs="仿宋"/>
                <w:color w:val="000000"/>
                <w:kern w:val="0"/>
                <w:sz w:val="22"/>
                <w:lang w:bidi="ar"/>
              </w:rPr>
            </w:pPr>
          </w:p>
        </w:tc>
      </w:tr>
      <w:bookmarkEnd w:id="0"/>
      <w:bookmarkEnd w:id="2739"/>
      <w:bookmarkEnd w:id="2898"/>
      <w:bookmarkEnd w:id="2899"/>
    </w:tbl>
    <w:p>
      <w:pPr>
        <w:widowControl/>
        <w:jc w:val="left"/>
        <w:rPr>
          <w:rFonts w:ascii="黑体" w:hAnsi="黑体" w:eastAsia="黑体" w:cs="仿宋_GB2312"/>
          <w:color w:val="000000"/>
          <w:kern w:val="0"/>
          <w:sz w:val="32"/>
          <w:szCs w:val="32"/>
        </w:rPr>
        <w:sectPr>
          <w:pgSz w:w="11906" w:h="16838"/>
          <w:pgMar w:top="1134" w:right="850" w:bottom="1134" w:left="850" w:header="720" w:footer="720" w:gutter="0"/>
          <w:pgBorders>
            <w:top w:val="none" w:sz="0" w:space="0"/>
            <w:left w:val="none" w:sz="0" w:space="0"/>
            <w:bottom w:val="none" w:sz="0" w:space="0"/>
            <w:right w:val="none" w:sz="0" w:space="0"/>
          </w:pgBorders>
          <w:pgNumType w:fmt="decimal"/>
          <w:cols w:space="0" w:num="1"/>
          <w:docGrid w:type="lines" w:linePitch="312" w:charSpace="0"/>
        </w:sectPr>
      </w:pPr>
      <w:bookmarkStart w:id="2900" w:name="_Toc27418"/>
      <w:bookmarkStart w:id="2901" w:name="_Toc18958"/>
      <w:bookmarkStart w:id="2902" w:name="_Toc4878"/>
    </w:p>
    <w:p>
      <w:pPr>
        <w:pStyle w:val="3"/>
        <w:adjustRightInd w:val="0"/>
        <w:snapToGrid w:val="0"/>
        <w:spacing w:before="0" w:after="0" w:line="240" w:lineRule="auto"/>
        <w:textAlignment w:val="baseline"/>
        <w:rPr>
          <w:rFonts w:ascii="仿宋" w:hAnsi="仿宋" w:eastAsia="仿宋" w:cs="仿宋"/>
          <w:b w:val="0"/>
          <w:bCs w:val="0"/>
          <w:color w:val="000000"/>
          <w:lang w:bidi="ar"/>
        </w:rPr>
      </w:pPr>
      <w:bookmarkStart w:id="2903" w:name="_Toc21865"/>
      <w:bookmarkStart w:id="2904" w:name="_Toc23594"/>
      <w:bookmarkStart w:id="2905" w:name="_Toc21461"/>
      <w:bookmarkStart w:id="2906" w:name="_Toc25922"/>
      <w:bookmarkStart w:id="2907" w:name="_Toc9807"/>
      <w:bookmarkStart w:id="2908" w:name="_Toc5714"/>
      <w:bookmarkStart w:id="2909" w:name="_Toc295260548"/>
      <w:bookmarkStart w:id="2910" w:name="_Toc438"/>
      <w:bookmarkStart w:id="2911" w:name="_Toc9784"/>
      <w:bookmarkStart w:id="2912" w:name="_Toc25679"/>
      <w:bookmarkStart w:id="2913" w:name="_Toc22697"/>
      <w:bookmarkStart w:id="2914" w:name="_Toc15302"/>
      <w:bookmarkStart w:id="2915" w:name="_Toc29513"/>
      <w:bookmarkStart w:id="2916" w:name="_Toc15305"/>
      <w:bookmarkStart w:id="2917" w:name="_Toc5208"/>
      <w:bookmarkStart w:id="2918" w:name="_Toc8962"/>
      <w:r>
        <w:rPr>
          <w:rFonts w:hint="eastAsia" w:ascii="仿宋" w:hAnsi="仿宋" w:eastAsia="仿宋" w:cs="仿宋"/>
          <w:b w:val="0"/>
          <w:bCs w:val="0"/>
          <w:color w:val="000000"/>
          <w:lang w:bidi="ar"/>
        </w:rPr>
        <w:t>附件10：</w:t>
      </w:r>
      <w:bookmarkEnd w:id="2903"/>
      <w:bookmarkEnd w:id="2904"/>
      <w:bookmarkEnd w:id="2905"/>
      <w:bookmarkEnd w:id="2906"/>
      <w:bookmarkEnd w:id="2907"/>
      <w:bookmarkEnd w:id="2908"/>
      <w:bookmarkEnd w:id="2909"/>
      <w:bookmarkEnd w:id="2910"/>
    </w:p>
    <w:p>
      <w:pPr>
        <w:pStyle w:val="3"/>
        <w:adjustRightInd w:val="0"/>
        <w:snapToGrid w:val="0"/>
        <w:spacing w:before="0" w:after="0" w:line="240" w:lineRule="auto"/>
        <w:jc w:val="center"/>
        <w:textAlignment w:val="baseline"/>
        <w:rPr>
          <w:rFonts w:ascii="黑体" w:hAnsi="黑体" w:eastAsia="黑体" w:cs="黑体"/>
          <w:b w:val="0"/>
          <w:bCs w:val="0"/>
          <w:sz w:val="36"/>
          <w:szCs w:val="36"/>
        </w:rPr>
      </w:pPr>
      <w:bookmarkStart w:id="2919" w:name="_Toc353"/>
      <w:bookmarkStart w:id="2920" w:name="_Toc29743"/>
      <w:bookmarkStart w:id="2921" w:name="_Toc28082"/>
      <w:bookmarkStart w:id="2922" w:name="_Toc447061758"/>
      <w:bookmarkStart w:id="2923" w:name="_Toc27797"/>
      <w:bookmarkStart w:id="2924" w:name="_Toc24675"/>
      <w:bookmarkStart w:id="2925" w:name="_Toc32715"/>
      <w:bookmarkStart w:id="2926" w:name="_Toc8357"/>
      <w:r>
        <w:rPr>
          <w:rFonts w:hint="eastAsia" w:ascii="黑体" w:hAnsi="黑体" w:eastAsia="黑体" w:cs="黑体"/>
          <w:b w:val="0"/>
          <w:bCs w:val="0"/>
          <w:sz w:val="36"/>
          <w:szCs w:val="36"/>
        </w:rPr>
        <w:t>供应链票据业务上线申报表</w:t>
      </w:r>
      <w:bookmarkEnd w:id="2911"/>
      <w:bookmarkEnd w:id="2912"/>
      <w:bookmarkEnd w:id="2913"/>
      <w:bookmarkEnd w:id="2914"/>
      <w:bookmarkEnd w:id="2919"/>
      <w:bookmarkEnd w:id="2920"/>
      <w:bookmarkEnd w:id="2921"/>
      <w:bookmarkEnd w:id="2922"/>
      <w:bookmarkEnd w:id="2923"/>
      <w:bookmarkEnd w:id="2924"/>
      <w:bookmarkEnd w:id="2925"/>
      <w:bookmarkEnd w:id="2926"/>
    </w:p>
    <w:p>
      <w:pPr>
        <w:spacing w:line="560" w:lineRule="exact"/>
        <w:ind w:right="-57" w:rightChars="-27"/>
        <w:jc w:val="center"/>
        <w:rPr>
          <w:rFonts w:ascii="黑体" w:hAnsi="黑体" w:eastAsia="黑体"/>
          <w:sz w:val="36"/>
          <w:szCs w:val="36"/>
        </w:rPr>
      </w:pPr>
    </w:p>
    <w:tbl>
      <w:tblPr>
        <w:tblStyle w:val="18"/>
        <w:tblW w:w="9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366"/>
        <w:gridCol w:w="2264"/>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5" w:hRule="atLeast"/>
          <w:jc w:val="center"/>
        </w:trPr>
        <w:tc>
          <w:tcPr>
            <w:tcW w:w="9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400" w:lineRule="exact"/>
              <w:jc w:val="center"/>
              <w:rPr>
                <w:rFonts w:ascii="仿宋_GB2312" w:hAnsi="仿宋_GB2312" w:eastAsia="黑体" w:cs="仿宋_GB2312"/>
                <w:b/>
                <w:color w:val="000000"/>
                <w:sz w:val="28"/>
                <w:szCs w:val="28"/>
              </w:rPr>
            </w:pPr>
            <w:r>
              <w:rPr>
                <w:rFonts w:hint="eastAsia" w:ascii="黑体" w:hAnsi="黑体" w:eastAsia="黑体" w:cs="黑体"/>
                <w:sz w:val="28"/>
                <w:szCs w:val="28"/>
              </w:rPr>
              <w:t>基 本 信 息</w:t>
            </w:r>
            <w:r>
              <w:rPr>
                <w:rFonts w:hint="eastAsia" w:ascii="黑体" w:hAnsi="黑体" w:eastAsia="黑体" w:cs="黑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20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单位全称</w:t>
            </w:r>
          </w:p>
        </w:tc>
        <w:tc>
          <w:tcPr>
            <w:tcW w:w="2366" w:type="dxa"/>
            <w:tcBorders>
              <w:top w:val="single" w:color="000000" w:sz="8" w:space="0"/>
              <w:left w:val="single" w:color="000000" w:sz="8" w:space="0"/>
              <w:bottom w:val="single" w:color="000000" w:sz="8" w:space="0"/>
              <w:right w:val="single" w:color="auto" w:sz="4" w:space="0"/>
            </w:tcBorders>
            <w:shd w:val="clear" w:color="auto" w:fill="FFFFFF"/>
            <w:vAlign w:val="center"/>
          </w:tcPr>
          <w:p>
            <w:pPr>
              <w:spacing w:line="320" w:lineRule="exact"/>
              <w:jc w:val="left"/>
              <w:rPr>
                <w:rFonts w:ascii="仿宋_GB2312" w:hAnsi="仿宋_GB2312" w:eastAsia="仿宋_GB2312" w:cs="仿宋_GB2312"/>
                <w:color w:val="000000"/>
                <w:sz w:val="28"/>
                <w:szCs w:val="28"/>
              </w:rPr>
            </w:pPr>
          </w:p>
        </w:tc>
        <w:tc>
          <w:tcPr>
            <w:tcW w:w="226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系统名称</w:t>
            </w:r>
          </w:p>
        </w:tc>
        <w:tc>
          <w:tcPr>
            <w:tcW w:w="2603"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20" w:lineRule="exact"/>
              <w:jc w:val="left"/>
              <w:rPr>
                <w:rFonts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5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sz w:val="28"/>
                <w:szCs w:val="28"/>
              </w:rPr>
              <w:t>联系人</w:t>
            </w:r>
          </w:p>
        </w:tc>
        <w:tc>
          <w:tcPr>
            <w:tcW w:w="2366" w:type="dxa"/>
            <w:tcBorders>
              <w:top w:val="single" w:color="000000" w:sz="8" w:space="0"/>
              <w:left w:val="single" w:color="000000" w:sz="8" w:space="0"/>
              <w:bottom w:val="single" w:color="000000" w:sz="8" w:space="0"/>
              <w:right w:val="single" w:color="auto" w:sz="4" w:space="0"/>
            </w:tcBorders>
            <w:shd w:val="clear" w:color="auto" w:fill="FFFFFF"/>
            <w:vAlign w:val="center"/>
          </w:tcPr>
          <w:p>
            <w:pPr>
              <w:spacing w:line="560" w:lineRule="exact"/>
              <w:rPr>
                <w:rFonts w:ascii="仿宋_GB2312" w:hAnsi="仿宋_GB2312" w:eastAsia="仿宋_GB2312" w:cs="仿宋_GB2312"/>
                <w:color w:val="000000"/>
                <w:sz w:val="28"/>
                <w:szCs w:val="28"/>
              </w:rPr>
            </w:pPr>
          </w:p>
        </w:tc>
        <w:tc>
          <w:tcPr>
            <w:tcW w:w="226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5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sz w:val="28"/>
                <w:szCs w:val="28"/>
              </w:rPr>
              <w:t>联系人职务</w:t>
            </w:r>
          </w:p>
        </w:tc>
        <w:tc>
          <w:tcPr>
            <w:tcW w:w="2603"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20" w:lineRule="exact"/>
              <w:jc w:val="left"/>
              <w:rPr>
                <w:rFonts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5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sz w:val="28"/>
                <w:szCs w:val="28"/>
              </w:rPr>
              <w:t>固定电话</w:t>
            </w:r>
          </w:p>
        </w:tc>
        <w:tc>
          <w:tcPr>
            <w:tcW w:w="2366" w:type="dxa"/>
            <w:tcBorders>
              <w:top w:val="single" w:color="000000" w:sz="8" w:space="0"/>
              <w:left w:val="single" w:color="000000" w:sz="8" w:space="0"/>
              <w:bottom w:val="single" w:color="000000" w:sz="8" w:space="0"/>
              <w:right w:val="single" w:color="auto" w:sz="4" w:space="0"/>
            </w:tcBorders>
            <w:shd w:val="clear" w:color="auto" w:fill="FFFFFF"/>
            <w:vAlign w:val="center"/>
          </w:tcPr>
          <w:p>
            <w:pPr>
              <w:spacing w:line="560" w:lineRule="exact"/>
              <w:rPr>
                <w:rFonts w:ascii="仿宋_GB2312" w:hAnsi="仿宋_GB2312" w:eastAsia="仿宋_GB2312" w:cs="仿宋_GB2312"/>
                <w:color w:val="000000"/>
                <w:sz w:val="28"/>
                <w:szCs w:val="28"/>
              </w:rPr>
            </w:pPr>
          </w:p>
        </w:tc>
        <w:tc>
          <w:tcPr>
            <w:tcW w:w="226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5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sz w:val="28"/>
                <w:szCs w:val="28"/>
                <w:lang w:eastAsia="zh-CN"/>
              </w:rPr>
              <w:t>工作</w:t>
            </w:r>
            <w:r>
              <w:rPr>
                <w:rFonts w:hint="eastAsia" w:ascii="仿宋_GB2312" w:hAnsi="仿宋_GB2312" w:eastAsia="仿宋_GB2312" w:cs="仿宋_GB2312"/>
                <w:sz w:val="28"/>
                <w:szCs w:val="28"/>
              </w:rPr>
              <w:t>手机</w:t>
            </w:r>
          </w:p>
        </w:tc>
        <w:tc>
          <w:tcPr>
            <w:tcW w:w="2603"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20" w:lineRule="exact"/>
              <w:jc w:val="left"/>
              <w:rPr>
                <w:rFonts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20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指定联系邮箱</w:t>
            </w:r>
          </w:p>
        </w:tc>
        <w:tc>
          <w:tcPr>
            <w:tcW w:w="7233"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exact"/>
          <w:jc w:val="center"/>
        </w:trPr>
        <w:tc>
          <w:tcPr>
            <w:tcW w:w="9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400" w:lineRule="exact"/>
              <w:jc w:val="center"/>
              <w:rPr>
                <w:rFonts w:ascii="仿宋_GB2312" w:hAnsi="仿宋_GB2312" w:eastAsia="仿宋_GB2312" w:cs="仿宋_GB2312"/>
                <w:color w:val="000000"/>
                <w:sz w:val="28"/>
                <w:szCs w:val="28"/>
              </w:rPr>
            </w:pPr>
            <w:r>
              <w:rPr>
                <w:rFonts w:hint="eastAsia" w:ascii="黑体" w:hAnsi="黑体" w:eastAsia="黑体" w:cs="黑体"/>
                <w:bCs/>
                <w:color w:val="000000"/>
                <w:sz w:val="28"/>
                <w:szCs w:val="28"/>
              </w:rPr>
              <w:t>申 请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4" w:hRule="exact"/>
          <w:jc w:val="center"/>
        </w:trPr>
        <w:tc>
          <w:tcPr>
            <w:tcW w:w="9320" w:type="dxa"/>
            <w:gridSpan w:val="4"/>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400" w:lineRule="exact"/>
              <w:ind w:firstLine="560" w:firstLineChars="200"/>
              <w:rPr>
                <w:rFonts w:ascii="仿宋_GB2312" w:hAnsi="仿宋_GB2312" w:eastAsia="仿宋_GB2312" w:cs="仿宋_GB2312"/>
                <w:color w:val="000000"/>
                <w:sz w:val="28"/>
                <w:szCs w:val="28"/>
              </w:rPr>
            </w:pPr>
          </w:p>
          <w:p>
            <w:pPr>
              <w:snapToGrid w:val="0"/>
              <w:spacing w:line="400" w:lineRule="exact"/>
              <w:ind w:firstLine="560" w:firstLineChars="200"/>
              <w:rPr>
                <w:rFonts w:ascii="仿宋_GB2312" w:hAnsi="仿宋_GB2312" w:eastAsia="仿宋_GB2312" w:cs="仿宋_GB2312"/>
                <w:color w:val="000000"/>
                <w:sz w:val="28"/>
                <w:szCs w:val="28"/>
              </w:rPr>
            </w:pPr>
          </w:p>
          <w:p>
            <w:pPr>
              <w:snapToGrid w:val="0"/>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我单位已完成系统对接及所有上线准备工作，特申请开通供应链票据业务功能权限并于</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日投产上线。</w:t>
            </w:r>
          </w:p>
          <w:p>
            <w:pPr>
              <w:snapToGrid w:val="0"/>
              <w:spacing w:line="560" w:lineRule="exact"/>
              <w:rPr>
                <w:rFonts w:ascii="仿宋_GB2312" w:hAnsi="仿宋_GB2312" w:eastAsia="仿宋_GB2312" w:cs="仿宋_GB2312"/>
                <w:color w:val="000000"/>
                <w:sz w:val="28"/>
                <w:szCs w:val="28"/>
              </w:rPr>
            </w:pPr>
          </w:p>
          <w:p>
            <w:pPr>
              <w:snapToGrid w:val="0"/>
              <w:spacing w:line="560" w:lineRule="exact"/>
              <w:rPr>
                <w:rFonts w:ascii="仿宋_GB2312" w:hAnsi="仿宋_GB2312" w:eastAsia="仿宋_GB2312" w:cs="仿宋_GB2312"/>
                <w:color w:val="000000"/>
                <w:sz w:val="28"/>
                <w:szCs w:val="28"/>
              </w:rPr>
            </w:pPr>
          </w:p>
          <w:p>
            <w:pPr>
              <w:snapToGrid w:val="0"/>
              <w:spacing w:line="560" w:lineRule="exact"/>
              <w:rPr>
                <w:rFonts w:ascii="仿宋_GB2312" w:hAnsi="仿宋_GB2312" w:eastAsia="仿宋_GB2312" w:cs="仿宋_GB2312"/>
                <w:color w:val="000000"/>
                <w:sz w:val="28"/>
                <w:szCs w:val="28"/>
              </w:rPr>
            </w:pPr>
          </w:p>
          <w:p>
            <w:pPr>
              <w:snapToGrid w:val="0"/>
              <w:spacing w:line="560" w:lineRule="exact"/>
              <w:ind w:firstLine="5600" w:firstLineChars="20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单位公章：</w:t>
            </w:r>
          </w:p>
          <w:p>
            <w:pPr>
              <w:snapToGrid w:val="0"/>
              <w:spacing w:line="560" w:lineRule="exact"/>
              <w:ind w:firstLine="5600" w:firstLineChars="20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申请日期：  年   月   日</w:t>
            </w:r>
          </w:p>
        </w:tc>
      </w:tr>
    </w:tbl>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bookmarkEnd w:id="2900"/>
    <w:bookmarkEnd w:id="2901"/>
    <w:bookmarkEnd w:id="2902"/>
    <w:bookmarkEnd w:id="2915"/>
    <w:bookmarkEnd w:id="2916"/>
    <w:bookmarkEnd w:id="2917"/>
    <w:bookmarkEnd w:id="2918"/>
    <w:p>
      <w:pPr>
        <w:pStyle w:val="3"/>
        <w:widowControl/>
        <w:adjustRightInd w:val="0"/>
        <w:snapToGrid w:val="0"/>
        <w:spacing w:line="240" w:lineRule="auto"/>
        <w:jc w:val="left"/>
        <w:textAlignment w:val="baseline"/>
        <w:rPr>
          <w:rFonts w:hint="eastAsia" w:ascii="仿宋" w:hAnsi="仿宋" w:eastAsia="仿宋" w:cs="仿宋"/>
          <w:b w:val="0"/>
          <w:bCs w:val="0"/>
          <w:color w:val="000000"/>
          <w:sz w:val="32"/>
          <w:szCs w:val="32"/>
          <w:lang w:val="en-US" w:eastAsia="zh-CN" w:bidi="ar"/>
        </w:rPr>
      </w:pPr>
      <w:bookmarkStart w:id="2927" w:name="_Toc1256470248"/>
      <w:bookmarkStart w:id="2928" w:name="_Toc12010"/>
      <w:bookmarkStart w:id="2929" w:name="_Toc20734"/>
      <w:bookmarkStart w:id="2930" w:name="_Toc2737"/>
      <w:bookmarkStart w:id="2931" w:name="_Toc6044"/>
      <w:bookmarkStart w:id="2932" w:name="_Toc16453"/>
      <w:bookmarkStart w:id="2933" w:name="_Toc22170"/>
      <w:bookmarkStart w:id="2934" w:name="_Toc26282"/>
      <w:bookmarkStart w:id="2935" w:name="_Toc26784"/>
      <w:bookmarkStart w:id="2936" w:name="_Toc21625"/>
      <w:bookmarkStart w:id="2937" w:name="_Toc26268"/>
      <w:bookmarkStart w:id="2938" w:name="_Toc26380"/>
      <w:bookmarkStart w:id="2939" w:name="_Toc26367"/>
      <w:bookmarkStart w:id="2940" w:name="_Toc18458"/>
      <w:bookmarkStart w:id="2941" w:name="_Toc17885"/>
      <w:bookmarkStart w:id="2942" w:name="_Toc2424"/>
      <w:r>
        <w:rPr>
          <w:rFonts w:hint="eastAsia" w:ascii="仿宋" w:hAnsi="仿宋" w:eastAsia="仿宋" w:cs="仿宋"/>
          <w:b w:val="0"/>
          <w:bCs w:val="0"/>
          <w:color w:val="000000"/>
          <w:sz w:val="32"/>
          <w:szCs w:val="32"/>
          <w:lang w:bidi="ar"/>
        </w:rPr>
        <w:t>附</w:t>
      </w:r>
      <w:r>
        <w:rPr>
          <w:rFonts w:hint="eastAsia" w:ascii="仿宋" w:hAnsi="仿宋" w:eastAsia="仿宋" w:cs="仿宋"/>
          <w:b w:val="0"/>
          <w:bCs w:val="0"/>
          <w:color w:val="000000"/>
          <w:sz w:val="32"/>
          <w:szCs w:val="32"/>
          <w:lang w:val="en-US" w:eastAsia="zh-CN" w:bidi="ar"/>
        </w:rPr>
        <w:t>件11：</w:t>
      </w:r>
      <w:bookmarkEnd w:id="2927"/>
      <w:bookmarkEnd w:id="2928"/>
    </w:p>
    <w:p>
      <w:pPr>
        <w:pStyle w:val="34"/>
        <w:spacing w:line="560" w:lineRule="exact"/>
        <w:ind w:left="1707" w:right="-57" w:rightChars="-27" w:firstLine="180" w:firstLineChars="50"/>
        <w:jc w:val="both"/>
        <w:rPr>
          <w:rFonts w:hint="eastAsia" w:ascii="黑体" w:hAnsi="黑体" w:eastAsia="黑体" w:cs="黑体"/>
          <w:sz w:val="36"/>
          <w:szCs w:val="36"/>
        </w:rPr>
      </w:pPr>
      <w:r>
        <w:rPr>
          <w:rFonts w:hint="eastAsia" w:ascii="黑体" w:hAnsi="黑体" w:eastAsia="黑体" w:cs="黑体"/>
          <w:sz w:val="36"/>
          <w:szCs w:val="36"/>
        </w:rPr>
        <w:t>“票付通”业务上线申报表</w:t>
      </w:r>
    </w:p>
    <w:p>
      <w:pPr>
        <w:ind w:right="-57" w:rightChars="-27"/>
        <w:jc w:val="center"/>
        <w:rPr>
          <w:rFonts w:ascii="黑体" w:hAnsi="黑体" w:eastAsia="黑体"/>
          <w:sz w:val="44"/>
          <w:szCs w:val="44"/>
        </w:rPr>
      </w:pPr>
    </w:p>
    <w:tbl>
      <w:tblPr>
        <w:tblStyle w:val="18"/>
        <w:tblW w:w="9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342"/>
        <w:gridCol w:w="1519"/>
        <w:gridCol w:w="627"/>
        <w:gridCol w:w="237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750" w:type="dxa"/>
            <w:vMerge w:val="restart"/>
            <w:tcBorders>
              <w:top w:val="single" w:color="auto" w:sz="8" w:space="0"/>
              <w:left w:val="single" w:color="auto" w:sz="8" w:space="0"/>
              <w:right w:val="single" w:color="auto" w:sz="8" w:space="0"/>
            </w:tcBorders>
            <w:vAlign w:val="center"/>
          </w:tcPr>
          <w:p>
            <w:pPr>
              <w:jc w:val="center"/>
              <w:rPr>
                <w:rFonts w:ascii="仿宋" w:hAnsi="仿宋" w:eastAsia="仿宋"/>
                <w:b/>
                <w:sz w:val="28"/>
                <w:szCs w:val="28"/>
              </w:rPr>
            </w:pPr>
            <w:r>
              <w:rPr>
                <w:rFonts w:hint="eastAsia" w:ascii="仿宋" w:hAnsi="仿宋" w:eastAsia="仿宋"/>
                <w:b/>
                <w:sz w:val="28"/>
                <w:szCs w:val="28"/>
              </w:rPr>
              <w:t>金融机构</w:t>
            </w:r>
          </w:p>
        </w:tc>
        <w:tc>
          <w:tcPr>
            <w:tcW w:w="8791" w:type="dxa"/>
            <w:gridSpan w:val="5"/>
            <w:tcBorders>
              <w:top w:val="single" w:color="auto" w:sz="8" w:space="0"/>
              <w:left w:val="single" w:color="auto" w:sz="8" w:space="0"/>
              <w:right w:val="single" w:color="auto" w:sz="8" w:space="0"/>
            </w:tcBorders>
            <w:vAlign w:val="center"/>
          </w:tcPr>
          <w:p>
            <w:pPr>
              <w:jc w:val="center"/>
              <w:rPr>
                <w:rFonts w:ascii="仿宋" w:hAnsi="仿宋" w:eastAsia="仿宋"/>
                <w:b/>
                <w:sz w:val="22"/>
                <w:szCs w:val="22"/>
              </w:rPr>
            </w:pPr>
            <w:r>
              <w:rPr>
                <w:rFonts w:hint="eastAsia" w:ascii="仿宋" w:hAnsi="仿宋" w:eastAsia="仿宋"/>
                <w:b/>
                <w:sz w:val="22"/>
                <w:szCs w:val="22"/>
              </w:rPr>
              <w:t>基 本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750" w:type="dxa"/>
            <w:vMerge w:val="continue"/>
            <w:tcBorders>
              <w:left w:val="single" w:color="auto" w:sz="8" w:space="0"/>
              <w:right w:val="single" w:color="auto" w:sz="8" w:space="0"/>
            </w:tcBorders>
            <w:vAlign w:val="center"/>
          </w:tcPr>
          <w:p>
            <w:pPr>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rPr>
              <w:t>单位全称</w:t>
            </w:r>
          </w:p>
        </w:tc>
        <w:tc>
          <w:tcPr>
            <w:tcW w:w="6449" w:type="dxa"/>
            <w:gridSpan w:val="4"/>
            <w:tcBorders>
              <w:right w:val="single" w:color="auto" w:sz="8" w:space="0"/>
            </w:tcBorders>
            <w:vAlign w:val="center"/>
          </w:tcPr>
          <w:p>
            <w:pPr>
              <w:jc w:val="center"/>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exact"/>
          <w:jc w:val="center"/>
        </w:trPr>
        <w:tc>
          <w:tcPr>
            <w:tcW w:w="750" w:type="dxa"/>
            <w:vMerge w:val="continue"/>
            <w:tcBorders>
              <w:left w:val="single" w:color="auto" w:sz="8" w:space="0"/>
              <w:right w:val="single" w:color="auto" w:sz="8" w:space="0"/>
            </w:tcBorders>
            <w:vAlign w:val="center"/>
          </w:tcPr>
          <w:p>
            <w:pPr>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rPr>
              <w:t>联系人</w:t>
            </w:r>
          </w:p>
        </w:tc>
        <w:tc>
          <w:tcPr>
            <w:tcW w:w="2146" w:type="dxa"/>
            <w:gridSpan w:val="2"/>
            <w:vAlign w:val="center"/>
          </w:tcPr>
          <w:p>
            <w:pPr>
              <w:rPr>
                <w:rFonts w:ascii="仿宋" w:hAnsi="仿宋" w:eastAsia="仿宋"/>
                <w:sz w:val="22"/>
                <w:szCs w:val="22"/>
              </w:rPr>
            </w:pPr>
          </w:p>
        </w:tc>
        <w:tc>
          <w:tcPr>
            <w:tcW w:w="2371" w:type="dxa"/>
            <w:vAlign w:val="center"/>
          </w:tcPr>
          <w:p>
            <w:pPr>
              <w:jc w:val="center"/>
              <w:rPr>
                <w:rFonts w:ascii="仿宋" w:hAnsi="仿宋" w:eastAsia="仿宋"/>
                <w:sz w:val="22"/>
                <w:szCs w:val="22"/>
              </w:rPr>
            </w:pPr>
            <w:r>
              <w:rPr>
                <w:rFonts w:hint="eastAsia" w:ascii="仿宋" w:hAnsi="仿宋" w:eastAsia="仿宋"/>
                <w:sz w:val="22"/>
                <w:szCs w:val="22"/>
              </w:rPr>
              <w:t>职 务</w:t>
            </w:r>
          </w:p>
        </w:tc>
        <w:tc>
          <w:tcPr>
            <w:tcW w:w="1932" w:type="dxa"/>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exact"/>
          <w:jc w:val="center"/>
        </w:trPr>
        <w:tc>
          <w:tcPr>
            <w:tcW w:w="750" w:type="dxa"/>
            <w:vMerge w:val="continue"/>
            <w:tcBorders>
              <w:left w:val="single" w:color="auto" w:sz="8" w:space="0"/>
              <w:right w:val="single" w:color="auto" w:sz="8" w:space="0"/>
            </w:tcBorders>
            <w:vAlign w:val="center"/>
          </w:tcPr>
          <w:p>
            <w:pPr>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lang w:eastAsia="zh-CN"/>
              </w:rPr>
              <w:t>座机、工作</w:t>
            </w:r>
            <w:r>
              <w:rPr>
                <w:rFonts w:hint="eastAsia" w:ascii="仿宋" w:hAnsi="仿宋" w:eastAsia="仿宋"/>
                <w:sz w:val="22"/>
                <w:szCs w:val="22"/>
              </w:rPr>
              <w:t>手机</w:t>
            </w:r>
          </w:p>
        </w:tc>
        <w:tc>
          <w:tcPr>
            <w:tcW w:w="2146" w:type="dxa"/>
            <w:gridSpan w:val="2"/>
            <w:vAlign w:val="center"/>
          </w:tcPr>
          <w:p>
            <w:pPr>
              <w:rPr>
                <w:rFonts w:ascii="仿宋" w:hAnsi="仿宋" w:eastAsia="仿宋"/>
                <w:sz w:val="22"/>
                <w:szCs w:val="22"/>
              </w:rPr>
            </w:pPr>
          </w:p>
        </w:tc>
        <w:tc>
          <w:tcPr>
            <w:tcW w:w="2371" w:type="dxa"/>
            <w:vAlign w:val="center"/>
          </w:tcPr>
          <w:p>
            <w:pPr>
              <w:jc w:val="center"/>
              <w:rPr>
                <w:rFonts w:ascii="仿宋" w:hAnsi="仿宋" w:eastAsia="仿宋"/>
                <w:sz w:val="22"/>
                <w:szCs w:val="22"/>
              </w:rPr>
            </w:pPr>
            <w:r>
              <w:rPr>
                <w:rFonts w:hint="eastAsia" w:ascii="仿宋" w:hAnsi="仿宋" w:eastAsia="仿宋"/>
                <w:sz w:val="22"/>
                <w:szCs w:val="22"/>
                <w:lang w:eastAsia="zh-CN"/>
              </w:rPr>
              <w:t>工作</w:t>
            </w:r>
            <w:r>
              <w:rPr>
                <w:rFonts w:hint="eastAsia" w:ascii="仿宋" w:hAnsi="仿宋" w:eastAsia="仿宋"/>
                <w:sz w:val="22"/>
                <w:szCs w:val="22"/>
              </w:rPr>
              <w:t>邮箱</w:t>
            </w:r>
          </w:p>
        </w:tc>
        <w:tc>
          <w:tcPr>
            <w:tcW w:w="1932" w:type="dxa"/>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exact"/>
          <w:jc w:val="center"/>
        </w:trPr>
        <w:tc>
          <w:tcPr>
            <w:tcW w:w="750" w:type="dxa"/>
            <w:vMerge w:val="continue"/>
            <w:tcBorders>
              <w:left w:val="single" w:color="auto" w:sz="8" w:space="0"/>
              <w:right w:val="single" w:color="auto" w:sz="8" w:space="0"/>
            </w:tcBorders>
            <w:vAlign w:val="center"/>
          </w:tcPr>
          <w:p>
            <w:pPr>
              <w:jc w:val="center"/>
              <w:rPr>
                <w:rFonts w:ascii="仿宋" w:hAnsi="仿宋" w:eastAsia="仿宋"/>
                <w:b/>
                <w:sz w:val="28"/>
                <w:szCs w:val="28"/>
              </w:rPr>
            </w:pPr>
          </w:p>
        </w:tc>
        <w:tc>
          <w:tcPr>
            <w:tcW w:w="8791" w:type="dxa"/>
            <w:gridSpan w:val="5"/>
            <w:tcBorders>
              <w:left w:val="single" w:color="auto" w:sz="8" w:space="0"/>
              <w:right w:val="single" w:color="auto" w:sz="8" w:space="0"/>
            </w:tcBorders>
            <w:vAlign w:val="center"/>
          </w:tcPr>
          <w:p>
            <w:pPr>
              <w:jc w:val="center"/>
              <w:rPr>
                <w:rFonts w:ascii="仿宋" w:hAnsi="仿宋" w:eastAsia="仿宋"/>
                <w:sz w:val="22"/>
                <w:szCs w:val="22"/>
              </w:rPr>
            </w:pPr>
            <w:r>
              <w:rPr>
                <w:rFonts w:hint="eastAsia" w:ascii="仿宋" w:hAnsi="仿宋" w:eastAsia="仿宋"/>
                <w:b/>
                <w:sz w:val="22"/>
                <w:szCs w:val="22"/>
              </w:rPr>
              <w:t>上 线 申 报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exact"/>
          <w:jc w:val="center"/>
        </w:trPr>
        <w:tc>
          <w:tcPr>
            <w:tcW w:w="750" w:type="dxa"/>
            <w:vMerge w:val="continue"/>
            <w:tcBorders>
              <w:left w:val="single" w:color="auto" w:sz="8" w:space="0"/>
              <w:right w:val="single" w:color="auto" w:sz="8" w:space="0"/>
            </w:tcBorders>
            <w:vAlign w:val="center"/>
          </w:tcPr>
          <w:p>
            <w:pPr>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ascii="仿宋" w:hAnsi="仿宋" w:eastAsia="仿宋"/>
                <w:sz w:val="22"/>
                <w:szCs w:val="22"/>
              </w:rPr>
              <w:t>申</w:t>
            </w:r>
            <w:r>
              <w:rPr>
                <w:rFonts w:hint="eastAsia" w:ascii="仿宋" w:hAnsi="仿宋" w:eastAsia="仿宋"/>
                <w:sz w:val="22"/>
                <w:szCs w:val="22"/>
              </w:rPr>
              <w:t>报</w:t>
            </w:r>
            <w:r>
              <w:rPr>
                <w:rFonts w:ascii="仿宋" w:hAnsi="仿宋" w:eastAsia="仿宋"/>
                <w:sz w:val="22"/>
                <w:szCs w:val="22"/>
              </w:rPr>
              <w:t>角色</w:t>
            </w:r>
          </w:p>
        </w:tc>
        <w:tc>
          <w:tcPr>
            <w:tcW w:w="6449" w:type="dxa"/>
            <w:gridSpan w:val="4"/>
            <w:tcBorders>
              <w:right w:val="single" w:color="auto" w:sz="8" w:space="0"/>
            </w:tcBorders>
            <w:vAlign w:val="center"/>
          </w:tcPr>
          <w:p>
            <w:pPr>
              <w:snapToGrid w:val="0"/>
              <w:spacing w:line="240" w:lineRule="atLeast"/>
              <w:jc w:val="both"/>
              <w:rPr>
                <w:rFonts w:ascii="仿宋" w:hAnsi="仿宋" w:eastAsia="仿宋"/>
                <w:sz w:val="22"/>
                <w:szCs w:val="22"/>
              </w:rPr>
            </w:pPr>
            <w:r>
              <w:rPr>
                <w:rFonts w:hint="eastAsia" w:ascii="宋体" w:hAnsi="宋体"/>
                <w:sz w:val="22"/>
                <w:szCs w:val="22"/>
              </w:rPr>
              <w:sym w:font="Wingdings 2" w:char="00A3"/>
            </w:r>
            <w:r>
              <w:rPr>
                <w:rFonts w:hint="eastAsia" w:ascii="仿宋" w:hAnsi="仿宋" w:eastAsia="仿宋"/>
                <w:sz w:val="22"/>
                <w:szCs w:val="22"/>
              </w:rPr>
              <w:t xml:space="preserve">合作金融机构 </w:t>
            </w:r>
            <w:r>
              <w:rPr>
                <w:rFonts w:ascii="仿宋" w:hAnsi="仿宋" w:eastAsia="仿宋"/>
                <w:sz w:val="22"/>
                <w:szCs w:val="22"/>
              </w:rPr>
              <w:t xml:space="preserve">      </w:t>
            </w:r>
            <w:r>
              <w:rPr>
                <w:rFonts w:hint="eastAsia" w:ascii="宋体" w:hAnsi="宋体"/>
                <w:sz w:val="22"/>
                <w:szCs w:val="22"/>
              </w:rPr>
              <w:t>□</w:t>
            </w:r>
            <w:r>
              <w:rPr>
                <w:rFonts w:ascii="仿宋" w:hAnsi="仿宋" w:eastAsia="仿宋"/>
                <w:sz w:val="22"/>
                <w:szCs w:val="22"/>
              </w:rPr>
              <w:t>开户机构</w:t>
            </w:r>
            <w:r>
              <w:rPr>
                <w:rFonts w:hint="eastAsia" w:ascii="仿宋" w:hAnsi="仿宋" w:eastAsia="仿宋"/>
                <w:sz w:val="22"/>
                <w:szCs w:val="22"/>
              </w:rPr>
              <w:t xml:space="preserve"> （可复选）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snapToGrid w:val="0"/>
              <w:jc w:val="center"/>
              <w:rPr>
                <w:rFonts w:ascii="仿宋" w:hAnsi="仿宋" w:eastAsia="仿宋"/>
                <w:sz w:val="22"/>
                <w:szCs w:val="22"/>
              </w:rPr>
            </w:pPr>
            <w:r>
              <w:rPr>
                <w:rFonts w:hint="eastAsia" w:ascii="仿宋" w:hAnsi="仿宋" w:eastAsia="仿宋"/>
                <w:sz w:val="22"/>
                <w:szCs w:val="22"/>
              </w:rPr>
              <w:t>开户机构</w:t>
            </w:r>
          </w:p>
          <w:p>
            <w:pPr>
              <w:snapToGrid w:val="0"/>
              <w:jc w:val="center"/>
              <w:rPr>
                <w:rFonts w:ascii="仿宋" w:hAnsi="仿宋" w:eastAsia="仿宋"/>
                <w:sz w:val="22"/>
                <w:szCs w:val="22"/>
              </w:rPr>
            </w:pPr>
            <w:r>
              <w:rPr>
                <w:rFonts w:hint="eastAsia" w:ascii="仿宋" w:hAnsi="仿宋" w:eastAsia="仿宋"/>
                <w:sz w:val="22"/>
                <w:szCs w:val="22"/>
              </w:rPr>
              <w:t>跳转地址</w:t>
            </w:r>
          </w:p>
        </w:tc>
        <w:tc>
          <w:tcPr>
            <w:tcW w:w="6449" w:type="dxa"/>
            <w:gridSpan w:val="4"/>
            <w:tcBorders>
              <w:right w:val="single" w:color="auto" w:sz="8" w:space="0"/>
            </w:tcBorders>
            <w:vAlign w:val="center"/>
          </w:tcPr>
          <w:p>
            <w:pPr>
              <w:snapToGrid w:val="0"/>
              <w:jc w:val="left"/>
              <w:rPr>
                <w:rFonts w:ascii="仿宋" w:hAnsi="仿宋" w:eastAsia="仿宋"/>
                <w:sz w:val="22"/>
                <w:szCs w:val="22"/>
              </w:rPr>
            </w:pPr>
            <w:r>
              <w:rPr>
                <w:rFonts w:ascii="仿宋" w:hAnsi="仿宋" w:eastAsia="仿宋"/>
                <w:sz w:val="22"/>
                <w:szCs w:val="22"/>
              </w:rPr>
              <w:t>填写生产跳转地址，以“https://”开始，</w:t>
            </w:r>
            <w:r>
              <w:rPr>
                <w:rFonts w:hint="eastAsia" w:ascii="仿宋" w:hAnsi="仿宋" w:eastAsia="仿宋"/>
                <w:sz w:val="22"/>
                <w:szCs w:val="22"/>
              </w:rPr>
              <w:t>以</w:t>
            </w:r>
            <w:r>
              <w:rPr>
                <w:rFonts w:ascii="仿宋" w:hAnsi="仿宋" w:eastAsia="仿宋"/>
                <w:sz w:val="22"/>
                <w:szCs w:val="22"/>
              </w:rPr>
              <w:t>“</w:t>
            </w:r>
            <w:r>
              <w:rPr>
                <w:rFonts w:hint="eastAsia" w:ascii="仿宋" w:hAnsi="仿宋" w:eastAsia="仿宋"/>
                <w:sz w:val="22"/>
                <w:szCs w:val="22"/>
              </w:rPr>
              <w:t>？</w:t>
            </w:r>
            <w:r>
              <w:rPr>
                <w:rFonts w:ascii="仿宋" w:hAnsi="仿宋" w:eastAsia="仿宋"/>
                <w:sz w:val="22"/>
                <w:szCs w:val="22"/>
              </w:rPr>
              <w:t>”结束</w:t>
            </w:r>
            <w:r>
              <w:rPr>
                <w:rFonts w:hint="eastAsia" w:ascii="仿宋" w:hAnsi="仿宋" w:eastAsia="仿宋"/>
                <w:sz w:val="22"/>
                <w:szCs w:val="22"/>
              </w:rPr>
              <w:t>，</w:t>
            </w:r>
            <w:r>
              <w:rPr>
                <w:rFonts w:ascii="仿宋" w:hAnsi="仿宋" w:eastAsia="仿宋"/>
                <w:sz w:val="22"/>
                <w:szCs w:val="22"/>
              </w:rPr>
              <w:t>不超过</w:t>
            </w:r>
            <w:r>
              <w:rPr>
                <w:rFonts w:hint="eastAsia" w:ascii="仿宋" w:hAnsi="仿宋" w:eastAsia="仿宋"/>
                <w:sz w:val="22"/>
                <w:szCs w:val="22"/>
              </w:rPr>
              <w:t>1</w:t>
            </w:r>
            <w:r>
              <w:rPr>
                <w:rFonts w:ascii="仿宋" w:hAnsi="仿宋" w:eastAsia="仿宋"/>
                <w:sz w:val="22"/>
                <w:szCs w:val="22"/>
              </w:rPr>
              <w:t>00个字符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snapToGrid w:val="0"/>
              <w:jc w:val="center"/>
              <w:rPr>
                <w:rFonts w:ascii="仿宋" w:hAnsi="仿宋" w:eastAsia="仿宋"/>
                <w:sz w:val="22"/>
                <w:szCs w:val="22"/>
              </w:rPr>
            </w:pPr>
            <w:r>
              <w:rPr>
                <w:rFonts w:hint="eastAsia" w:ascii="仿宋" w:hAnsi="仿宋" w:eastAsia="仿宋"/>
                <w:sz w:val="22"/>
                <w:szCs w:val="22"/>
              </w:rPr>
              <w:t>合作金融机构</w:t>
            </w:r>
          </w:p>
          <w:p>
            <w:pPr>
              <w:snapToGrid w:val="0"/>
              <w:jc w:val="center"/>
              <w:rPr>
                <w:rFonts w:ascii="仿宋" w:hAnsi="仿宋" w:eastAsia="仿宋"/>
                <w:sz w:val="22"/>
                <w:szCs w:val="22"/>
              </w:rPr>
            </w:pPr>
            <w:r>
              <w:rPr>
                <w:rFonts w:hint="eastAsia" w:ascii="仿宋" w:hAnsi="仿宋" w:eastAsia="仿宋"/>
                <w:sz w:val="22"/>
                <w:szCs w:val="22"/>
              </w:rPr>
              <w:t>回跳地址</w:t>
            </w:r>
          </w:p>
        </w:tc>
        <w:tc>
          <w:tcPr>
            <w:tcW w:w="6449" w:type="dxa"/>
            <w:gridSpan w:val="4"/>
            <w:tcBorders>
              <w:right w:val="single" w:color="auto" w:sz="8" w:space="0"/>
            </w:tcBorders>
            <w:vAlign w:val="center"/>
          </w:tcPr>
          <w:p>
            <w:pPr>
              <w:snapToGrid w:val="0"/>
              <w:jc w:val="left"/>
              <w:rPr>
                <w:rFonts w:ascii="仿宋" w:hAnsi="仿宋" w:eastAsia="仿宋"/>
                <w:sz w:val="22"/>
                <w:szCs w:val="22"/>
              </w:rPr>
            </w:pPr>
            <w:r>
              <w:rPr>
                <w:rFonts w:ascii="仿宋" w:hAnsi="仿宋" w:eastAsia="仿宋"/>
                <w:sz w:val="22"/>
                <w:szCs w:val="22"/>
              </w:rPr>
              <w:t>填写生产</w:t>
            </w:r>
            <w:r>
              <w:rPr>
                <w:rFonts w:hint="eastAsia" w:ascii="仿宋" w:hAnsi="仿宋" w:eastAsia="仿宋"/>
                <w:sz w:val="22"/>
                <w:szCs w:val="22"/>
              </w:rPr>
              <w:t>回跳</w:t>
            </w:r>
            <w:r>
              <w:rPr>
                <w:rFonts w:ascii="仿宋" w:hAnsi="仿宋" w:eastAsia="仿宋"/>
                <w:sz w:val="22"/>
                <w:szCs w:val="22"/>
              </w:rPr>
              <w:t>地址，以“https://”开始，</w:t>
            </w:r>
            <w:r>
              <w:rPr>
                <w:rFonts w:hint="eastAsia" w:ascii="仿宋" w:hAnsi="仿宋" w:eastAsia="仿宋"/>
                <w:sz w:val="22"/>
                <w:szCs w:val="22"/>
              </w:rPr>
              <w:t>以</w:t>
            </w:r>
            <w:r>
              <w:rPr>
                <w:rFonts w:ascii="仿宋" w:hAnsi="仿宋" w:eastAsia="仿宋"/>
                <w:sz w:val="22"/>
                <w:szCs w:val="22"/>
              </w:rPr>
              <w:t>“</w:t>
            </w:r>
            <w:r>
              <w:rPr>
                <w:rFonts w:hint="eastAsia" w:ascii="仿宋" w:hAnsi="仿宋" w:eastAsia="仿宋"/>
                <w:sz w:val="22"/>
                <w:szCs w:val="22"/>
              </w:rPr>
              <w:t>？</w:t>
            </w:r>
            <w:r>
              <w:rPr>
                <w:rFonts w:ascii="仿宋" w:hAnsi="仿宋" w:eastAsia="仿宋"/>
                <w:sz w:val="22"/>
                <w:szCs w:val="22"/>
              </w:rPr>
              <w:t>”结束</w:t>
            </w:r>
            <w:r>
              <w:rPr>
                <w:rFonts w:hint="eastAsia" w:ascii="仿宋" w:hAnsi="仿宋" w:eastAsia="仿宋"/>
                <w:sz w:val="22"/>
                <w:szCs w:val="22"/>
              </w:rPr>
              <w:t>，</w:t>
            </w:r>
            <w:r>
              <w:rPr>
                <w:rFonts w:ascii="仿宋" w:hAnsi="仿宋" w:eastAsia="仿宋"/>
                <w:sz w:val="22"/>
                <w:szCs w:val="22"/>
              </w:rPr>
              <w:t>不超过</w:t>
            </w:r>
            <w:r>
              <w:rPr>
                <w:rFonts w:hint="eastAsia" w:ascii="仿宋" w:hAnsi="仿宋" w:eastAsia="仿宋"/>
                <w:sz w:val="22"/>
                <w:szCs w:val="22"/>
              </w:rPr>
              <w:t>1</w:t>
            </w:r>
            <w:r>
              <w:rPr>
                <w:rFonts w:ascii="仿宋" w:hAnsi="仿宋" w:eastAsia="仿宋"/>
                <w:sz w:val="22"/>
                <w:szCs w:val="22"/>
              </w:rPr>
              <w:t>00个字符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exact"/>
          <w:jc w:val="center"/>
        </w:trPr>
        <w:tc>
          <w:tcPr>
            <w:tcW w:w="750" w:type="dxa"/>
            <w:vMerge w:val="restart"/>
            <w:tcBorders>
              <w:left w:val="single" w:color="auto" w:sz="8" w:space="0"/>
              <w:right w:val="single" w:color="auto" w:sz="8" w:space="0"/>
            </w:tcBorders>
            <w:vAlign w:val="center"/>
          </w:tcPr>
          <w:p>
            <w:pPr>
              <w:snapToGrid w:val="0"/>
              <w:jc w:val="center"/>
              <w:rPr>
                <w:rFonts w:ascii="仿宋" w:hAnsi="仿宋" w:eastAsia="仿宋"/>
                <w:sz w:val="28"/>
                <w:szCs w:val="28"/>
              </w:rPr>
            </w:pPr>
            <w:r>
              <w:rPr>
                <w:rFonts w:hint="eastAsia" w:ascii="仿宋" w:hAnsi="仿宋" w:eastAsia="仿宋"/>
                <w:b/>
                <w:bCs/>
                <w:sz w:val="28"/>
                <w:szCs w:val="28"/>
              </w:rPr>
              <w:t>B2B平台</w:t>
            </w:r>
          </w:p>
        </w:tc>
        <w:tc>
          <w:tcPr>
            <w:tcW w:w="8791" w:type="dxa"/>
            <w:gridSpan w:val="5"/>
            <w:tcBorders>
              <w:left w:val="single" w:color="auto" w:sz="8" w:space="0"/>
              <w:right w:val="single" w:color="auto" w:sz="8" w:space="0"/>
            </w:tcBorders>
            <w:vAlign w:val="center"/>
          </w:tcPr>
          <w:p>
            <w:pPr>
              <w:jc w:val="center"/>
              <w:rPr>
                <w:rFonts w:ascii="仿宋" w:hAnsi="仿宋" w:eastAsia="仿宋"/>
                <w:sz w:val="22"/>
                <w:szCs w:val="22"/>
              </w:rPr>
            </w:pPr>
            <w:r>
              <w:rPr>
                <w:rFonts w:hint="eastAsia" w:ascii="仿宋" w:hAnsi="仿宋" w:eastAsia="仿宋"/>
                <w:b/>
                <w:sz w:val="22"/>
                <w:szCs w:val="22"/>
              </w:rPr>
              <w:t>基 本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rPr>
              <w:t>B</w:t>
            </w:r>
            <w:r>
              <w:rPr>
                <w:rFonts w:ascii="仿宋" w:hAnsi="仿宋" w:eastAsia="仿宋"/>
                <w:sz w:val="22"/>
                <w:szCs w:val="22"/>
              </w:rPr>
              <w:t>2B</w:t>
            </w:r>
            <w:r>
              <w:rPr>
                <w:rFonts w:hint="eastAsia" w:ascii="仿宋" w:hAnsi="仿宋" w:eastAsia="仿宋"/>
                <w:sz w:val="22"/>
                <w:szCs w:val="22"/>
              </w:rPr>
              <w:t>平台名称</w:t>
            </w:r>
          </w:p>
        </w:tc>
        <w:tc>
          <w:tcPr>
            <w:tcW w:w="2146" w:type="dxa"/>
            <w:gridSpan w:val="2"/>
            <w:tcBorders>
              <w:right w:val="single" w:color="auto" w:sz="8" w:space="0"/>
            </w:tcBorders>
            <w:vAlign w:val="center"/>
          </w:tcPr>
          <w:p>
            <w:pPr>
              <w:rPr>
                <w:rFonts w:ascii="仿宋" w:hAnsi="仿宋" w:eastAsia="仿宋"/>
                <w:sz w:val="22"/>
                <w:szCs w:val="22"/>
              </w:rPr>
            </w:pPr>
          </w:p>
        </w:tc>
        <w:tc>
          <w:tcPr>
            <w:tcW w:w="2371" w:type="dxa"/>
            <w:tcBorders>
              <w:right w:val="single" w:color="auto" w:sz="8" w:space="0"/>
            </w:tcBorders>
            <w:vAlign w:val="center"/>
          </w:tcPr>
          <w:p>
            <w:pPr>
              <w:snapToGrid w:val="0"/>
              <w:jc w:val="center"/>
              <w:rPr>
                <w:rFonts w:ascii="仿宋" w:hAnsi="仿宋" w:eastAsia="仿宋"/>
                <w:sz w:val="22"/>
                <w:szCs w:val="22"/>
              </w:rPr>
            </w:pPr>
            <w:r>
              <w:rPr>
                <w:rFonts w:hint="eastAsia" w:ascii="仿宋" w:hAnsi="仿宋" w:eastAsia="仿宋"/>
                <w:sz w:val="22"/>
                <w:szCs w:val="22"/>
              </w:rPr>
              <w:t>平台主页地址</w:t>
            </w:r>
          </w:p>
        </w:tc>
        <w:tc>
          <w:tcPr>
            <w:tcW w:w="1932" w:type="dxa"/>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rPr>
              <w:t>所属公司全称</w:t>
            </w:r>
          </w:p>
        </w:tc>
        <w:tc>
          <w:tcPr>
            <w:tcW w:w="2146" w:type="dxa"/>
            <w:gridSpan w:val="2"/>
            <w:tcBorders>
              <w:right w:val="single" w:color="auto" w:sz="8" w:space="0"/>
            </w:tcBorders>
            <w:vAlign w:val="center"/>
          </w:tcPr>
          <w:p>
            <w:pPr>
              <w:rPr>
                <w:rFonts w:ascii="仿宋" w:hAnsi="仿宋" w:eastAsia="仿宋"/>
                <w:sz w:val="22"/>
                <w:szCs w:val="22"/>
              </w:rPr>
            </w:pPr>
          </w:p>
        </w:tc>
        <w:tc>
          <w:tcPr>
            <w:tcW w:w="2371" w:type="dxa"/>
            <w:tcBorders>
              <w:right w:val="single" w:color="auto" w:sz="8" w:space="0"/>
            </w:tcBorders>
            <w:vAlign w:val="center"/>
          </w:tcPr>
          <w:p>
            <w:pPr>
              <w:jc w:val="center"/>
              <w:rPr>
                <w:rFonts w:ascii="仿宋" w:hAnsi="仿宋" w:eastAsia="仿宋"/>
                <w:sz w:val="22"/>
                <w:szCs w:val="22"/>
              </w:rPr>
            </w:pPr>
            <w:r>
              <w:rPr>
                <w:rFonts w:ascii="仿宋" w:hAnsi="仿宋" w:eastAsia="仿宋"/>
                <w:sz w:val="22"/>
                <w:szCs w:val="22"/>
              </w:rPr>
              <w:t>法定代表人</w:t>
            </w:r>
          </w:p>
        </w:tc>
        <w:tc>
          <w:tcPr>
            <w:tcW w:w="1932" w:type="dxa"/>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snapToGrid w:val="0"/>
              <w:jc w:val="center"/>
              <w:rPr>
                <w:rFonts w:ascii="仿宋" w:hAnsi="仿宋" w:eastAsia="仿宋"/>
                <w:sz w:val="22"/>
                <w:szCs w:val="22"/>
              </w:rPr>
            </w:pPr>
            <w:r>
              <w:rPr>
                <w:rFonts w:hint="eastAsia" w:ascii="仿宋" w:hAnsi="仿宋" w:eastAsia="仿宋"/>
                <w:sz w:val="22"/>
                <w:szCs w:val="22"/>
              </w:rPr>
              <w:t>统一社会信用代码</w:t>
            </w:r>
          </w:p>
        </w:tc>
        <w:tc>
          <w:tcPr>
            <w:tcW w:w="6449" w:type="dxa"/>
            <w:gridSpan w:val="4"/>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exact"/>
          <w:jc w:val="center"/>
        </w:trPr>
        <w:tc>
          <w:tcPr>
            <w:tcW w:w="750" w:type="dxa"/>
            <w:vMerge w:val="continue"/>
            <w:tcBorders>
              <w:left w:val="single" w:color="auto" w:sz="8" w:space="0"/>
              <w:right w:val="single" w:color="auto" w:sz="8" w:space="0"/>
            </w:tcBorders>
            <w:vAlign w:val="center"/>
          </w:tcPr>
          <w:p>
            <w:pPr>
              <w:snapToGrid w:val="0"/>
              <w:jc w:val="center"/>
              <w:rPr>
                <w:rFonts w:ascii="仿宋" w:hAnsi="仿宋" w:eastAsia="仿宋"/>
                <w:sz w:val="28"/>
                <w:szCs w:val="28"/>
              </w:rPr>
            </w:pPr>
          </w:p>
        </w:tc>
        <w:tc>
          <w:tcPr>
            <w:tcW w:w="2342" w:type="dxa"/>
            <w:tcBorders>
              <w:lef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rPr>
              <w:t>联系人</w:t>
            </w:r>
          </w:p>
        </w:tc>
        <w:tc>
          <w:tcPr>
            <w:tcW w:w="2146" w:type="dxa"/>
            <w:gridSpan w:val="2"/>
            <w:tcBorders>
              <w:right w:val="single" w:color="auto" w:sz="8" w:space="0"/>
            </w:tcBorders>
            <w:vAlign w:val="center"/>
          </w:tcPr>
          <w:p>
            <w:pPr>
              <w:rPr>
                <w:rFonts w:ascii="仿宋" w:hAnsi="仿宋" w:eastAsia="仿宋"/>
                <w:sz w:val="22"/>
                <w:szCs w:val="22"/>
              </w:rPr>
            </w:pPr>
          </w:p>
        </w:tc>
        <w:tc>
          <w:tcPr>
            <w:tcW w:w="2371" w:type="dxa"/>
            <w:tcBorders>
              <w:right w:val="single" w:color="auto" w:sz="8" w:space="0"/>
            </w:tcBorders>
            <w:vAlign w:val="center"/>
          </w:tcPr>
          <w:p>
            <w:pPr>
              <w:jc w:val="center"/>
              <w:rPr>
                <w:rFonts w:ascii="仿宋" w:hAnsi="仿宋" w:eastAsia="仿宋"/>
                <w:sz w:val="22"/>
                <w:szCs w:val="22"/>
              </w:rPr>
            </w:pPr>
            <w:r>
              <w:rPr>
                <w:rFonts w:hint="eastAsia" w:ascii="仿宋" w:hAnsi="仿宋" w:eastAsia="仿宋"/>
                <w:sz w:val="22"/>
                <w:szCs w:val="22"/>
                <w:lang w:eastAsia="zh-CN"/>
              </w:rPr>
              <w:t>座机、工作</w:t>
            </w:r>
            <w:r>
              <w:rPr>
                <w:rFonts w:hint="eastAsia" w:ascii="仿宋" w:hAnsi="仿宋" w:eastAsia="仿宋"/>
                <w:sz w:val="22"/>
                <w:szCs w:val="22"/>
              </w:rPr>
              <w:t>手机</w:t>
            </w:r>
          </w:p>
        </w:tc>
        <w:tc>
          <w:tcPr>
            <w:tcW w:w="1932" w:type="dxa"/>
            <w:tcBorders>
              <w:right w:val="single" w:color="auto" w:sz="8" w:space="0"/>
            </w:tcBorders>
            <w:vAlign w:val="center"/>
          </w:tcPr>
          <w:p>
            <w:pPr>
              <w:jc w:val="left"/>
              <w:rPr>
                <w:rFonts w:ascii="仿宋" w:hAnsi="仿宋" w:eastAsia="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exact"/>
          <w:jc w:val="center"/>
        </w:trPr>
        <w:tc>
          <w:tcPr>
            <w:tcW w:w="9541" w:type="dxa"/>
            <w:gridSpan w:val="6"/>
            <w:tcBorders>
              <w:left w:val="single" w:color="auto" w:sz="8" w:space="0"/>
              <w:right w:val="single" w:color="auto" w:sz="8" w:space="0"/>
            </w:tcBorders>
            <w:vAlign w:val="center"/>
          </w:tcPr>
          <w:p>
            <w:pPr>
              <w:jc w:val="center"/>
              <w:rPr>
                <w:rFonts w:ascii="仿宋" w:hAnsi="仿宋" w:eastAsia="仿宋"/>
                <w:sz w:val="28"/>
                <w:szCs w:val="28"/>
              </w:rPr>
            </w:pPr>
            <w:r>
              <w:rPr>
                <w:rFonts w:hint="eastAsia" w:ascii="仿宋" w:hAnsi="仿宋" w:eastAsia="仿宋"/>
                <w:b/>
                <w:sz w:val="28"/>
                <w:szCs w:val="28"/>
              </w:rPr>
              <w:t>上 线 申 报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exact"/>
          <w:jc w:val="center"/>
        </w:trPr>
        <w:tc>
          <w:tcPr>
            <w:tcW w:w="4611" w:type="dxa"/>
            <w:gridSpan w:val="3"/>
            <w:tcBorders>
              <w:left w:val="single" w:color="auto" w:sz="8" w:space="0"/>
              <w:right w:val="single" w:color="auto" w:sz="8" w:space="0"/>
            </w:tcBorders>
            <w:vAlign w:val="center"/>
          </w:tcPr>
          <w:p>
            <w:pPr>
              <w:snapToGrid w:val="0"/>
              <w:spacing w:line="360" w:lineRule="auto"/>
              <w:ind w:right="65"/>
              <w:jc w:val="center"/>
              <w:rPr>
                <w:rFonts w:ascii="仿宋" w:hAnsi="仿宋" w:eastAsia="仿宋"/>
                <w:sz w:val="24"/>
                <w:szCs w:val="32"/>
              </w:rPr>
            </w:pPr>
            <w:r>
              <w:rPr>
                <w:rFonts w:hint="eastAsia" w:ascii="仿宋" w:hAnsi="仿宋" w:eastAsia="仿宋"/>
                <w:b/>
                <w:sz w:val="28"/>
                <w:szCs w:val="28"/>
              </w:rPr>
              <w:t>金融机构</w:t>
            </w:r>
          </w:p>
        </w:tc>
        <w:tc>
          <w:tcPr>
            <w:tcW w:w="4930" w:type="dxa"/>
            <w:gridSpan w:val="3"/>
            <w:tcBorders>
              <w:left w:val="single" w:color="auto" w:sz="8" w:space="0"/>
              <w:right w:val="single" w:color="auto" w:sz="8" w:space="0"/>
            </w:tcBorders>
            <w:vAlign w:val="center"/>
          </w:tcPr>
          <w:p>
            <w:pPr>
              <w:snapToGrid w:val="0"/>
              <w:spacing w:line="360" w:lineRule="auto"/>
              <w:ind w:right="65"/>
              <w:jc w:val="center"/>
              <w:rPr>
                <w:rFonts w:ascii="仿宋" w:hAnsi="仿宋" w:eastAsia="仿宋"/>
                <w:sz w:val="24"/>
                <w:szCs w:val="32"/>
              </w:rPr>
            </w:pPr>
            <w:r>
              <w:rPr>
                <w:rFonts w:hint="eastAsia" w:ascii="仿宋" w:hAnsi="仿宋" w:eastAsia="仿宋"/>
                <w:b/>
                <w:sz w:val="28"/>
                <w:szCs w:val="28"/>
              </w:rPr>
              <w:t>B2B平台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4" w:hRule="exact"/>
          <w:jc w:val="center"/>
        </w:trPr>
        <w:tc>
          <w:tcPr>
            <w:tcW w:w="4611" w:type="dxa"/>
            <w:gridSpan w:val="3"/>
            <w:tcBorders>
              <w:left w:val="single" w:color="auto" w:sz="8" w:space="0"/>
              <w:right w:val="single" w:color="auto" w:sz="8" w:space="0"/>
            </w:tcBorders>
            <w:vAlign w:val="center"/>
          </w:tcPr>
          <w:p>
            <w:pPr>
              <w:snapToGrid w:val="0"/>
              <w:spacing w:line="360" w:lineRule="auto"/>
              <w:ind w:right="65" w:firstLine="440" w:firstLineChars="200"/>
              <w:rPr>
                <w:rFonts w:ascii="仿宋" w:hAnsi="仿宋" w:eastAsia="仿宋"/>
                <w:sz w:val="22"/>
                <w:szCs w:val="28"/>
              </w:rPr>
            </w:pPr>
            <w:r>
              <w:rPr>
                <w:rFonts w:hint="eastAsia" w:ascii="仿宋" w:hAnsi="仿宋" w:eastAsia="仿宋"/>
                <w:sz w:val="22"/>
                <w:szCs w:val="28"/>
              </w:rPr>
              <w:t>我单位已完成与该</w:t>
            </w:r>
            <w:r>
              <w:rPr>
                <w:rFonts w:ascii="仿宋" w:hAnsi="仿宋" w:eastAsia="仿宋"/>
                <w:sz w:val="22"/>
                <w:szCs w:val="28"/>
              </w:rPr>
              <w:t>B2B</w:t>
            </w:r>
            <w:r>
              <w:rPr>
                <w:rFonts w:hint="eastAsia" w:ascii="仿宋" w:hAnsi="仿宋" w:eastAsia="仿宋"/>
                <w:sz w:val="22"/>
                <w:szCs w:val="28"/>
              </w:rPr>
              <w:t>平台的系统对接（如有）；已完成所有上线准备工作，特申报开通“票付通”业务功能权限。</w:t>
            </w: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r>
              <w:rPr>
                <w:rFonts w:hint="eastAsia" w:ascii="仿宋" w:hAnsi="仿宋" w:eastAsia="仿宋"/>
                <w:sz w:val="22"/>
                <w:szCs w:val="28"/>
              </w:rPr>
              <w:t>单位公章：</w:t>
            </w:r>
          </w:p>
          <w:p>
            <w:pPr>
              <w:snapToGrid w:val="0"/>
              <w:spacing w:line="360" w:lineRule="auto"/>
              <w:ind w:right="1960"/>
              <w:rPr>
                <w:rFonts w:ascii="仿宋" w:hAnsi="仿宋" w:eastAsia="仿宋"/>
                <w:sz w:val="22"/>
                <w:szCs w:val="28"/>
              </w:rPr>
            </w:pPr>
          </w:p>
          <w:p>
            <w:pPr>
              <w:snapToGrid w:val="0"/>
              <w:spacing w:line="360" w:lineRule="auto"/>
              <w:ind w:right="65"/>
              <w:jc w:val="left"/>
              <w:rPr>
                <w:rFonts w:ascii="仿宋" w:hAnsi="仿宋" w:eastAsia="仿宋"/>
                <w:sz w:val="28"/>
                <w:szCs w:val="28"/>
              </w:rPr>
            </w:pPr>
            <w:r>
              <w:rPr>
                <w:rFonts w:hint="eastAsia" w:ascii="仿宋" w:hAnsi="仿宋" w:eastAsia="仿宋"/>
                <w:sz w:val="22"/>
                <w:szCs w:val="28"/>
              </w:rPr>
              <w:t>申报日期：  年   月   日</w:t>
            </w:r>
          </w:p>
        </w:tc>
        <w:tc>
          <w:tcPr>
            <w:tcW w:w="4930" w:type="dxa"/>
            <w:gridSpan w:val="3"/>
            <w:tcBorders>
              <w:left w:val="single" w:color="auto" w:sz="8" w:space="0"/>
              <w:right w:val="single" w:color="auto" w:sz="8" w:space="0"/>
            </w:tcBorders>
            <w:vAlign w:val="center"/>
          </w:tcPr>
          <w:p>
            <w:pPr>
              <w:snapToGrid w:val="0"/>
              <w:spacing w:line="360" w:lineRule="auto"/>
              <w:ind w:right="65" w:firstLine="440" w:firstLineChars="200"/>
              <w:rPr>
                <w:rFonts w:ascii="仿宋" w:hAnsi="仿宋" w:eastAsia="仿宋"/>
                <w:sz w:val="22"/>
                <w:szCs w:val="28"/>
              </w:rPr>
            </w:pPr>
            <w:r>
              <w:rPr>
                <w:rFonts w:hint="eastAsia" w:ascii="仿宋" w:hAnsi="仿宋" w:eastAsia="仿宋"/>
                <w:sz w:val="22"/>
                <w:szCs w:val="28"/>
              </w:rPr>
              <w:t>我单位已完成与该合作金融机构的系统对接，已完成所有上线准备工作，特申报开通“票付通”业务功能权限。</w:t>
            </w: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p>
          <w:p>
            <w:pPr>
              <w:snapToGrid w:val="0"/>
              <w:spacing w:line="360" w:lineRule="auto"/>
              <w:ind w:right="65"/>
              <w:jc w:val="left"/>
              <w:rPr>
                <w:rFonts w:ascii="仿宋" w:hAnsi="仿宋" w:eastAsia="仿宋"/>
                <w:sz w:val="22"/>
                <w:szCs w:val="28"/>
              </w:rPr>
            </w:pPr>
            <w:r>
              <w:rPr>
                <w:rFonts w:hint="eastAsia" w:ascii="仿宋" w:hAnsi="仿宋" w:eastAsia="仿宋"/>
                <w:sz w:val="22"/>
                <w:szCs w:val="28"/>
              </w:rPr>
              <w:t>单位公章：</w:t>
            </w:r>
          </w:p>
          <w:p>
            <w:pPr>
              <w:snapToGrid w:val="0"/>
              <w:spacing w:line="360" w:lineRule="auto"/>
              <w:ind w:right="1960"/>
              <w:rPr>
                <w:rFonts w:ascii="仿宋" w:hAnsi="仿宋" w:eastAsia="仿宋"/>
                <w:sz w:val="22"/>
                <w:szCs w:val="28"/>
              </w:rPr>
            </w:pPr>
          </w:p>
          <w:p>
            <w:pPr>
              <w:snapToGrid w:val="0"/>
              <w:spacing w:line="360" w:lineRule="auto"/>
              <w:ind w:right="65"/>
              <w:jc w:val="left"/>
              <w:rPr>
                <w:rFonts w:ascii="仿宋" w:hAnsi="仿宋" w:eastAsia="仿宋"/>
                <w:sz w:val="28"/>
                <w:szCs w:val="28"/>
              </w:rPr>
            </w:pPr>
            <w:r>
              <w:rPr>
                <w:rFonts w:hint="eastAsia" w:ascii="仿宋" w:hAnsi="仿宋" w:eastAsia="仿宋"/>
                <w:sz w:val="22"/>
                <w:szCs w:val="28"/>
              </w:rPr>
              <w:t>申报日期：  年   月   日</w:t>
            </w:r>
          </w:p>
        </w:tc>
      </w:tr>
    </w:tbl>
    <w:p>
      <w:pPr>
        <w:rPr>
          <w:lang w:bidi="ar"/>
        </w:rPr>
      </w:pPr>
    </w:p>
    <w:p>
      <w:pPr>
        <w:keepNext w:val="0"/>
        <w:keepLines w:val="0"/>
        <w:widowControl/>
        <w:spacing w:before="0" w:after="0" w:line="240" w:lineRule="auto"/>
        <w:jc w:val="left"/>
        <w:rPr>
          <w:rFonts w:hint="eastAsia" w:ascii="仿宋" w:hAnsi="仿宋" w:eastAsia="仿宋" w:cs="仿宋"/>
          <w:b w:val="0"/>
          <w:bCs w:val="0"/>
          <w:color w:val="000000"/>
          <w:lang w:bidi="ar"/>
        </w:rPr>
      </w:pPr>
      <w:r>
        <w:rPr>
          <w:rFonts w:hint="eastAsia" w:ascii="仿宋" w:hAnsi="仿宋" w:eastAsia="仿宋" w:cs="仿宋"/>
          <w:b w:val="0"/>
          <w:bCs w:val="0"/>
          <w:color w:val="000000"/>
          <w:lang w:bidi="ar"/>
        </w:rPr>
        <w:br w:type="page"/>
      </w:r>
    </w:p>
    <w:p>
      <w:pPr>
        <w:pStyle w:val="3"/>
        <w:keepNext w:val="0"/>
        <w:keepLines w:val="0"/>
        <w:widowControl/>
        <w:spacing w:before="0" w:after="0" w:line="240" w:lineRule="auto"/>
        <w:jc w:val="left"/>
        <w:rPr>
          <w:rFonts w:ascii="仿宋" w:hAnsi="仿宋" w:eastAsia="仿宋" w:cs="仿宋"/>
          <w:b w:val="0"/>
          <w:bCs w:val="0"/>
          <w:color w:val="000000"/>
          <w:lang w:bidi="ar"/>
        </w:rPr>
      </w:pPr>
      <w:bookmarkStart w:id="2943" w:name="_Toc3382"/>
      <w:bookmarkStart w:id="2944" w:name="_Toc701777798"/>
      <w:r>
        <w:rPr>
          <w:rFonts w:hint="eastAsia" w:ascii="仿宋" w:hAnsi="仿宋" w:eastAsia="仿宋" w:cs="仿宋"/>
          <w:b w:val="0"/>
          <w:bCs w:val="0"/>
          <w:color w:val="000000"/>
          <w:lang w:eastAsia="zh-CN" w:bidi="ar"/>
        </w:rPr>
        <w:t>附件12</w:t>
      </w:r>
      <w:r>
        <w:rPr>
          <w:rFonts w:hint="eastAsia" w:ascii="仿宋" w:hAnsi="仿宋" w:eastAsia="仿宋" w:cs="仿宋"/>
          <w:b w:val="0"/>
          <w:bCs w:val="0"/>
          <w:color w:val="000000"/>
          <w:lang w:bidi="ar"/>
        </w:rPr>
        <w:t>：贴现通业务授权承诺书（线上贴现模板）</w:t>
      </w:r>
      <w:bookmarkEnd w:id="2929"/>
      <w:bookmarkEnd w:id="2930"/>
      <w:bookmarkEnd w:id="2931"/>
      <w:bookmarkEnd w:id="2932"/>
      <w:bookmarkEnd w:id="2933"/>
      <w:bookmarkEnd w:id="2934"/>
      <w:bookmarkEnd w:id="2943"/>
      <w:bookmarkEnd w:id="2944"/>
    </w:p>
    <w:bookmarkEnd w:id="2935"/>
    <w:bookmarkEnd w:id="2936"/>
    <w:bookmarkEnd w:id="2937"/>
    <w:bookmarkEnd w:id="2938"/>
    <w:bookmarkEnd w:id="2939"/>
    <w:bookmarkEnd w:id="2940"/>
    <w:p>
      <w:pPr>
        <w:adjustRightInd w:val="0"/>
        <w:snapToGrid w:val="0"/>
        <w:spacing w:line="360" w:lineRule="auto"/>
        <w:jc w:val="center"/>
        <w:rPr>
          <w:rFonts w:ascii="黑体" w:hAnsi="宋体" w:eastAsia="黑体" w:cs="黑体"/>
          <w:sz w:val="8"/>
          <w:szCs w:val="8"/>
          <w:lang w:bidi="ar"/>
        </w:rPr>
      </w:pPr>
    </w:p>
    <w:p>
      <w:pPr>
        <w:adjustRightInd w:val="0"/>
        <w:snapToGrid w:val="0"/>
        <w:spacing w:line="360" w:lineRule="auto"/>
        <w:jc w:val="center"/>
        <w:rPr>
          <w:rFonts w:ascii="仿宋" w:hAnsi="仿宋" w:eastAsia="仿宋" w:cs="仿宋"/>
          <w:b/>
          <w:sz w:val="32"/>
          <w:szCs w:val="32"/>
        </w:rPr>
      </w:pPr>
      <w:r>
        <w:rPr>
          <w:rFonts w:hint="eastAsia" w:ascii="黑体" w:hAnsi="宋体" w:eastAsia="黑体" w:cs="黑体"/>
          <w:sz w:val="36"/>
          <w:szCs w:val="36"/>
          <w:lang w:bidi="ar"/>
        </w:rPr>
        <w:t>授权承诺书指引</w:t>
      </w:r>
    </w:p>
    <w:p>
      <w:pPr>
        <w:adjustRightInd w:val="0"/>
        <w:snapToGrid w:val="0"/>
        <w:spacing w:line="360" w:lineRule="auto"/>
        <w:jc w:val="center"/>
        <w:rPr>
          <w:rFonts w:ascii="黑体" w:hAnsi="宋体" w:eastAsia="黑体" w:cs="黑体"/>
          <w:sz w:val="36"/>
          <w:szCs w:val="36"/>
        </w:rPr>
      </w:pPr>
    </w:p>
    <w:p>
      <w:pPr>
        <w:adjustRightInd w:val="0"/>
        <w:snapToGrid w:val="0"/>
        <w:spacing w:line="59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lang w:bidi="ar"/>
        </w:rPr>
        <w:t>我单位为办理贴现通业务，特委托____________（以下称“票据经纪机构”）在票据业务系统进行贴现信息登记、询价发布、贴现撮合等活动，并向贴现通业务下贴现机构和上海票据交易所作出以下承诺和授权：</w:t>
      </w:r>
    </w:p>
    <w:p>
      <w:pPr>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一、保证我单位依法从事经营活动，具有签订和履行本授权承诺书所必须的民事权利能力和民事行为能力，能独立承担民事责任。</w:t>
      </w:r>
    </w:p>
    <w:p>
      <w:pPr>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二、已充分了解贴现通业务的性质和内容，并承诺遵守票据法律法规、金融管理部门规范性文件以及《上海票据交易所业务指南》、《上海票据交易所贴现通业务操作规程（试行）》等票交所业务规则（以上统称为“贴现通业务制度”）。</w:t>
      </w:r>
    </w:p>
    <w:p>
      <w:pPr>
        <w:adjustRightInd w:val="0"/>
        <w:snapToGrid w:val="0"/>
        <w:spacing w:line="590" w:lineRule="exact"/>
        <w:ind w:firstLine="640" w:firstLineChars="200"/>
        <w:jc w:val="left"/>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三、承诺拥有委托票据的完整票据权利，与出票人或直接前手之间具有真实的交易关系和债权债务关系。承诺在票据上的签章真实、合法、有效，票据上不存在伪造、变造或虚假记载事项，不存在被利害关系人申请挂失止付、公示催告或被有权机关查封、冻结等限制票据权利的情形。</w:t>
      </w:r>
    </w:p>
    <w:p>
      <w:pPr>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四、认可票据经纪机构在授权期间内代表我单位在票据业务系统作出的贴现信息登记、报价、成交等全部行为，愿意承担由此产生的法律责任。</w:t>
      </w:r>
    </w:p>
    <w:p>
      <w:pPr>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五、在企业签约、委托票据询价时，同意有关贴现机构查询并使用我单位在票据业务系统登记的贴现申请人信息，同意有关贴现机构通过金融信用信息基础数据库查询并使用我单位相关信息，同意将贴现合同下有关信息提供给金融信用信息基础数据库。</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六、承认本授权承诺书、意向成交单、《上海票据交易所贴现通业务操作规程（试行）》和</w:t>
      </w:r>
      <w:r>
        <w:rPr>
          <w:rFonts w:hint="eastAsia" w:ascii="仿宋" w:hAnsi="仿宋" w:eastAsia="仿宋" w:cs="仿宋"/>
          <w:color w:val="000000"/>
          <w:kern w:val="0"/>
          <w:sz w:val="32"/>
          <w:szCs w:val="32"/>
        </w:rPr>
        <w:t>《上海票据交易所业务指南》</w:t>
      </w:r>
      <w:r>
        <w:rPr>
          <w:rFonts w:hint="eastAsia" w:ascii="仿宋" w:hAnsi="仿宋" w:eastAsia="仿宋" w:cs="仿宋"/>
          <w:color w:val="000000"/>
          <w:kern w:val="0"/>
          <w:sz w:val="32"/>
          <w:szCs w:val="32"/>
          <w:lang w:bidi="ar"/>
        </w:rPr>
        <w:t>构成我公司和贴现机构之间的贴现合同。承诺严格按照意向成交单载明的交易要素在电子商业汇票系统发起贴现申请，授权</w:t>
      </w:r>
      <w:r>
        <w:rPr>
          <w:rFonts w:hint="eastAsia" w:ascii="仿宋" w:hAnsi="仿宋" w:eastAsia="仿宋" w:cs="仿宋"/>
          <w:color w:val="000000"/>
          <w:kern w:val="0"/>
          <w:sz w:val="32"/>
          <w:szCs w:val="32"/>
        </w:rPr>
        <w:t>上海票据交易所按照贴现通业务制度对我单位票据进行系统控制，并</w:t>
      </w:r>
      <w:r>
        <w:rPr>
          <w:rFonts w:hint="eastAsia" w:ascii="仿宋" w:hAnsi="仿宋" w:eastAsia="仿宋" w:cs="仿宋"/>
          <w:color w:val="000000"/>
          <w:kern w:val="0"/>
          <w:sz w:val="32"/>
          <w:szCs w:val="32"/>
          <w:lang w:bidi="ar"/>
        </w:rPr>
        <w:t>按照意向成交单进行</w:t>
      </w:r>
      <w:r>
        <w:rPr>
          <w:rFonts w:hint="eastAsia" w:ascii="仿宋" w:hAnsi="仿宋" w:eastAsia="仿宋" w:cs="仿宋"/>
          <w:color w:val="000000"/>
          <w:kern w:val="0"/>
          <w:sz w:val="32"/>
          <w:szCs w:val="32"/>
        </w:rPr>
        <w:t>权属变更</w:t>
      </w:r>
      <w:r>
        <w:rPr>
          <w:rFonts w:hint="eastAsia" w:ascii="仿宋" w:hAnsi="仿宋" w:eastAsia="仿宋" w:cs="仿宋"/>
          <w:color w:val="000000"/>
          <w:kern w:val="0"/>
          <w:sz w:val="32"/>
          <w:szCs w:val="32"/>
          <w:lang w:bidi="ar"/>
        </w:rPr>
        <w:t>处理。我单位不擅自变更或解除合同，且转让给贴现机构的票据不存在任何转让限制。</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七、保证同一时间对同一张票据只委托一家票据经纪机构询价。</w:t>
      </w:r>
    </w:p>
    <w:p>
      <w:pPr>
        <w:adjustRightInd w:val="0"/>
        <w:snapToGrid w:val="0"/>
        <w:spacing w:line="590" w:lineRule="exact"/>
        <w:ind w:firstLine="640" w:firstLineChars="200"/>
        <w:rPr>
          <w:rFonts w:ascii="仿宋" w:hAnsi="Times New Roman"/>
          <w:kern w:val="0"/>
          <w:sz w:val="32"/>
        </w:rPr>
      </w:pPr>
      <w:r>
        <w:rPr>
          <w:rFonts w:hint="eastAsia" w:ascii="仿宋" w:hAnsi="仿宋" w:eastAsia="仿宋" w:cs="仿宋"/>
          <w:color w:val="000000"/>
          <w:kern w:val="0"/>
          <w:sz w:val="32"/>
          <w:szCs w:val="32"/>
          <w:lang w:bidi="ar"/>
        </w:rPr>
        <w:t>八、承诺积极配合贴现机构提供相关业务资料，且在贴现通业务下提供的信息资料均真实、准确、完整而无任何隐瞒或遗漏，信息发生变更时，会以书面形式及时通知已贴现机构。</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九、承诺通过贴现通业务所得贴现资金用于我单位正常的生产经营活动，不将贴现资金直接转回出票人账户；不将贴现资金转存保证金后滚动申请签发银行承兑汇票；不使用贴现资金还旧借新；不将贴现资金流入国家禁止生产、经营的领域。承诺积极配合贴现资金使用情况检查和相关反洗钱调查。</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贴现机构按照有关规则向我单位发起追索时，承诺予以配合，并将在收到电子追索通知之次日起三个工作日内，将票据金额、行使追索权的费用及迟收利息(按票据金额每日万分之一点五计算，自票据到期日起至清偿日止)足额划入贴现机构指定账户。</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十一、若发生违反贴现通业务制度和贴现合同的行为给贴现机构造成损失的，承担赔偿责任。</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十二、与贴现机构在贴现通业务项下发生争议，经协商无法达成一致的，我单位同意提交贴现机构所在地人民法院诉讼解决。</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十三、承诺发生以下行为的，不追究上海票据交易所和贴现机构的责任：</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一）上海票据交易所中断或部分中断提供服务是由于网络通讯传输障碍、电力供应障碍、与上海票据交易所系统相联接的其他第三方机构业务系统的故障和地震、火灾、洪水、战争、疫情等不可控灾害，或其他在合理范围内无法控制的、预见亦不能避免的或不可预见的意外事件等原因造成，由此引起的损失或损害。</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（二）我单位的行为出于欺诈或其他非法目的，或未遵守贴现通业务制度，或未能正确依据上海票据交易所业务规则的说明办理业务。</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（三）在任何情况下，因使用或无法使用上海票据交易所提供的服务所导致的间接损失。 </w:t>
      </w:r>
    </w:p>
    <w:p>
      <w:pPr>
        <w:autoSpaceDE w:val="0"/>
        <w:autoSpaceDN w:val="0"/>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（四）在上海票据交易所主管部门特殊要求或市场整体利益需要的情况下，更改或持续性更改运营时间，或暂时中止上海票据交易所系统，或停止提供部分服务。</w:t>
      </w:r>
    </w:p>
    <w:p>
      <w:pPr>
        <w:adjustRightInd w:val="0"/>
        <w:snapToGrid w:val="0"/>
        <w:spacing w:line="590" w:lineRule="exact"/>
        <w:ind w:firstLine="640" w:firstLineChars="200"/>
        <w:rPr>
          <w:rFonts w:ascii="仿宋" w:hAnsi="仿宋" w:eastAsia="仿宋" w:cs="仿宋"/>
          <w:kern w:val="0"/>
          <w:sz w:val="32"/>
          <w:szCs w:val="32"/>
        </w:rPr>
      </w:pPr>
      <w:r>
        <w:rPr>
          <w:rFonts w:hint="eastAsia" w:ascii="仿宋" w:hAnsi="仿宋" w:eastAsia="仿宋" w:cs="仿宋"/>
          <w:color w:val="000000"/>
          <w:kern w:val="0"/>
          <w:sz w:val="32"/>
          <w:szCs w:val="32"/>
          <w:lang w:bidi="ar"/>
        </w:rPr>
        <w:t>十四、</w:t>
      </w:r>
      <w:r>
        <w:rPr>
          <w:rFonts w:hint="eastAsia" w:ascii="仿宋" w:hAnsi="仿宋" w:eastAsia="仿宋" w:cs="仿宋"/>
          <w:kern w:val="0"/>
          <w:sz w:val="32"/>
          <w:szCs w:val="32"/>
          <w:lang w:bidi="ar"/>
        </w:rPr>
        <w:t>贴现通业务下的通知、要求、本协议所涉之债务催收、诉讼的法律文书或其他通信可交付或发送至本授权承诺书落款处我公司地址或联系方式。采用邮寄送达被退回的，以文书退回之日视为送达之日。</w:t>
      </w:r>
    </w:p>
    <w:p>
      <w:pPr>
        <w:adjustRightInd w:val="0"/>
        <w:snapToGrid w:val="0"/>
        <w:spacing w:line="590" w:lineRule="exact"/>
        <w:ind w:firstLine="640" w:firstLineChars="200"/>
        <w:rPr>
          <w:rFonts w:ascii="仿宋" w:hAnsi="仿宋" w:eastAsia="仿宋" w:cs="仿宋"/>
          <w:kern w:val="0"/>
          <w:sz w:val="32"/>
          <w:szCs w:val="32"/>
        </w:rPr>
      </w:pPr>
      <w:r>
        <w:rPr>
          <w:rFonts w:hint="eastAsia" w:ascii="仿宋" w:hAnsi="仿宋" w:eastAsia="仿宋" w:cs="仿宋"/>
          <w:color w:val="000000"/>
          <w:kern w:val="0"/>
          <w:sz w:val="32"/>
          <w:szCs w:val="32"/>
          <w:lang w:bidi="ar"/>
        </w:rPr>
        <w:t>十五</w:t>
      </w:r>
      <w:r>
        <w:rPr>
          <w:rFonts w:hint="eastAsia" w:ascii="仿宋" w:hAnsi="仿宋" w:eastAsia="仿宋" w:cs="仿宋"/>
          <w:kern w:val="0"/>
          <w:sz w:val="32"/>
          <w:szCs w:val="32"/>
          <w:lang w:bidi="ar"/>
        </w:rPr>
        <w:t>、签署和履行本授权承诺书是自愿的，为我单位真实意思表示，本授权承诺书的签署和履行不违反我单位章程或任何对我单位有约束力的协议等法律文件。</w:t>
      </w:r>
    </w:p>
    <w:p>
      <w:pPr>
        <w:adjustRightInd w:val="0"/>
        <w:snapToGrid w:val="0"/>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kern w:val="0"/>
          <w:sz w:val="32"/>
          <w:szCs w:val="32"/>
          <w:lang w:bidi="ar"/>
        </w:rPr>
        <w:t>十六、授权期限：</w:t>
      </w:r>
      <w:r>
        <w:rPr>
          <w:rFonts w:hint="eastAsia" w:ascii="仿宋" w:hAnsi="仿宋" w:eastAsia="仿宋" w:cs="仿宋"/>
          <w:color w:val="000000"/>
          <w:kern w:val="0"/>
          <w:sz w:val="32"/>
          <w:szCs w:val="32"/>
          <w:lang w:bidi="ar"/>
        </w:rPr>
        <w:t>____________。</w:t>
      </w:r>
    </w:p>
    <w:p>
      <w:pPr>
        <w:adjustRightInd w:val="0"/>
        <w:snapToGrid w:val="0"/>
        <w:spacing w:line="590" w:lineRule="exact"/>
        <w:ind w:firstLine="640" w:firstLineChars="200"/>
        <w:rPr>
          <w:rFonts w:ascii="仿宋" w:hAnsi="仿宋" w:eastAsia="仿宋" w:cs="仿宋"/>
          <w:color w:val="000000"/>
          <w:kern w:val="0"/>
          <w:sz w:val="32"/>
          <w:szCs w:val="32"/>
          <w:lang w:bidi="ar"/>
        </w:rPr>
      </w:pPr>
    </w:p>
    <w:p>
      <w:pPr>
        <w:adjustRightInd w:val="0"/>
        <w:snapToGrid w:val="0"/>
        <w:spacing w:line="590" w:lineRule="exact"/>
        <w:ind w:firstLine="640" w:firstLineChars="200"/>
        <w:rPr>
          <w:rFonts w:ascii="仿宋" w:hAnsi="仿宋" w:eastAsia="仿宋" w:cs="仿宋"/>
          <w:color w:val="000000"/>
          <w:kern w:val="0"/>
          <w:sz w:val="32"/>
          <w:szCs w:val="32"/>
          <w:lang w:bidi="ar"/>
        </w:rPr>
      </w:pPr>
    </w:p>
    <w:p>
      <w:pPr>
        <w:autoSpaceDE w:val="0"/>
        <w:autoSpaceDN w:val="0"/>
        <w:adjustRightInd w:val="0"/>
        <w:snapToGrid w:val="0"/>
        <w:spacing w:line="590" w:lineRule="exact"/>
        <w:ind w:firstLine="3840" w:firstLineChars="1200"/>
        <w:rPr>
          <w:rFonts w:ascii="仿宋" w:hAnsi="仿宋" w:eastAsia="仿宋" w:cs="仿宋"/>
          <w:sz w:val="32"/>
          <w:szCs w:val="32"/>
        </w:rPr>
      </w:pPr>
      <w:r>
        <w:rPr>
          <w:rFonts w:hint="eastAsia" w:ascii="仿宋" w:hAnsi="仿宋" w:eastAsia="仿宋" w:cs="仿宋"/>
          <w:sz w:val="32"/>
          <w:szCs w:val="32"/>
          <w:lang w:bidi="ar"/>
        </w:rPr>
        <w:t>授权承诺人（公章）</w:t>
      </w:r>
    </w:p>
    <w:p>
      <w:pPr>
        <w:autoSpaceDE w:val="0"/>
        <w:autoSpaceDN w:val="0"/>
        <w:adjustRightInd w:val="0"/>
        <w:snapToGrid w:val="0"/>
        <w:spacing w:line="590" w:lineRule="exact"/>
        <w:ind w:firstLine="3840" w:firstLineChars="1200"/>
        <w:rPr>
          <w:rFonts w:ascii="仿宋" w:hAnsi="仿宋" w:eastAsia="仿宋" w:cs="仿宋"/>
          <w:kern w:val="0"/>
          <w:sz w:val="32"/>
          <w:szCs w:val="32"/>
        </w:rPr>
      </w:pPr>
      <w:r>
        <w:rPr>
          <w:rFonts w:hint="eastAsia" w:ascii="仿宋" w:hAnsi="仿宋" w:eastAsia="仿宋" w:cs="仿宋"/>
          <w:kern w:val="0"/>
          <w:sz w:val="32"/>
          <w:szCs w:val="32"/>
          <w:lang w:bidi="ar"/>
        </w:rPr>
        <w:t xml:space="preserve">地     址： </w:t>
      </w:r>
    </w:p>
    <w:p>
      <w:pPr>
        <w:adjustRightInd w:val="0"/>
        <w:snapToGrid w:val="0"/>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邮政编码：</w:t>
      </w:r>
    </w:p>
    <w:p>
      <w:pPr>
        <w:adjustRightInd w:val="0"/>
        <w:snapToGrid w:val="0"/>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联 系 人：</w:t>
      </w:r>
    </w:p>
    <w:p>
      <w:pPr>
        <w:adjustRightInd w:val="0"/>
        <w:snapToGrid w:val="0"/>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联系电话：</w:t>
      </w:r>
    </w:p>
    <w:p>
      <w:pPr>
        <w:adjustRightInd w:val="0"/>
        <w:snapToGrid w:val="0"/>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传    真：</w:t>
      </w:r>
    </w:p>
    <w:p>
      <w:pPr>
        <w:adjustRightInd w:val="0"/>
        <w:snapToGrid w:val="0"/>
        <w:spacing w:line="590" w:lineRule="exact"/>
        <w:ind w:firstLine="3840" w:firstLineChars="1200"/>
        <w:jc w:val="left"/>
        <w:textAlignment w:val="baseline"/>
        <w:rPr>
          <w:rFonts w:ascii="仿宋" w:hAnsi="仿宋" w:eastAsia="仿宋" w:cs="仿宋"/>
          <w:kern w:val="0"/>
          <w:sz w:val="32"/>
          <w:szCs w:val="32"/>
          <w:lang w:bidi="ar"/>
        </w:rPr>
      </w:pPr>
      <w:r>
        <w:rPr>
          <w:rFonts w:hint="eastAsia" w:ascii="仿宋" w:hAnsi="仿宋" w:eastAsia="仿宋" w:cs="仿宋"/>
          <w:kern w:val="0"/>
          <w:sz w:val="32"/>
          <w:szCs w:val="32"/>
          <w:lang w:bidi="ar"/>
        </w:rPr>
        <w:t>电子邮箱：</w:t>
      </w:r>
    </w:p>
    <w:p>
      <w:pPr>
        <w:widowControl/>
        <w:adjustRightInd w:val="0"/>
        <w:snapToGrid w:val="0"/>
        <w:spacing w:line="520" w:lineRule="exact"/>
        <w:ind w:firstLine="3840" w:firstLineChars="1200"/>
        <w:jc w:val="left"/>
        <w:textAlignment w:val="baseline"/>
        <w:rPr>
          <w:rFonts w:ascii="仿宋" w:hAnsi="仿宋" w:eastAsia="仿宋" w:cs="仿宋"/>
          <w:sz w:val="32"/>
          <w:szCs w:val="32"/>
        </w:rPr>
      </w:pPr>
      <w:r>
        <w:rPr>
          <w:rFonts w:hint="eastAsia" w:ascii="仿宋" w:hAnsi="仿宋" w:eastAsia="仿宋" w:cs="仿宋"/>
          <w:sz w:val="32"/>
          <w:szCs w:val="32"/>
          <w:lang w:bidi="ar"/>
        </w:rPr>
        <w:t>年    月   日</w:t>
      </w:r>
    </w:p>
    <w:p>
      <w:pPr>
        <w:rPr>
          <w:rFonts w:ascii="Times New Roman" w:hAnsi="Times New Roman"/>
          <w:sz w:val="32"/>
        </w:rPr>
      </w:pPr>
      <w:bookmarkStart w:id="2945" w:name="_Toc28356"/>
      <w:r>
        <w:rPr>
          <w:rFonts w:hint="eastAsia" w:ascii="Times New Roman" w:hAnsi="Times New Roman"/>
          <w:sz w:val="32"/>
        </w:rPr>
        <w:br w:type="page"/>
      </w:r>
    </w:p>
    <w:p>
      <w:pPr>
        <w:pStyle w:val="3"/>
        <w:widowControl/>
        <w:adjustRightInd w:val="0"/>
        <w:snapToGrid w:val="0"/>
        <w:spacing w:line="240" w:lineRule="auto"/>
        <w:jc w:val="both"/>
        <w:rPr>
          <w:rFonts w:ascii="黑体" w:hAnsi="宋体" w:eastAsia="黑体" w:cs="黑体"/>
          <w:sz w:val="36"/>
          <w:szCs w:val="36"/>
        </w:rPr>
      </w:pPr>
      <w:bookmarkStart w:id="2946" w:name="_Toc2118"/>
      <w:bookmarkStart w:id="2947" w:name="_Toc20143"/>
      <w:bookmarkStart w:id="2948" w:name="_Toc24033"/>
      <w:bookmarkStart w:id="2949" w:name="_Toc11409"/>
      <w:bookmarkStart w:id="2950" w:name="_Toc27480"/>
      <w:bookmarkStart w:id="2951" w:name="_Toc32582"/>
      <w:bookmarkStart w:id="2952" w:name="_Toc9841"/>
      <w:bookmarkStart w:id="2953" w:name="_Toc23771"/>
      <w:bookmarkStart w:id="2954" w:name="_Toc32290"/>
      <w:bookmarkStart w:id="2955" w:name="_Toc25069"/>
      <w:bookmarkStart w:id="2956" w:name="_Toc26801"/>
      <w:bookmarkStart w:id="2957" w:name="_Toc1659442294"/>
      <w:bookmarkStart w:id="2958" w:name="_Toc16969"/>
      <w:r>
        <w:rPr>
          <w:rFonts w:hint="eastAsia" w:ascii="仿宋" w:hAnsi="仿宋" w:eastAsia="仿宋" w:cs="仿宋"/>
          <w:b w:val="0"/>
          <w:bCs w:val="0"/>
          <w:color w:val="000000"/>
          <w:lang w:eastAsia="zh-CN" w:bidi="ar"/>
        </w:rPr>
        <w:t>附件13</w:t>
      </w:r>
      <w:r>
        <w:rPr>
          <w:rFonts w:hint="eastAsia" w:ascii="仿宋" w:hAnsi="仿宋" w:eastAsia="仿宋" w:cs="仿宋"/>
          <w:b w:val="0"/>
          <w:bCs w:val="0"/>
          <w:color w:val="000000"/>
          <w:lang w:bidi="ar"/>
        </w:rPr>
        <w:t>：</w:t>
      </w:r>
      <w:bookmarkEnd w:id="2945"/>
      <w:bookmarkEnd w:id="2946"/>
      <w:bookmarkEnd w:id="2947"/>
      <w:bookmarkEnd w:id="2948"/>
      <w:bookmarkEnd w:id="2949"/>
      <w:bookmarkEnd w:id="2950"/>
      <w:bookmarkEnd w:id="2951"/>
      <w:bookmarkEnd w:id="2952"/>
      <w:bookmarkEnd w:id="2953"/>
      <w:bookmarkEnd w:id="2954"/>
      <w:bookmarkEnd w:id="2955"/>
      <w:bookmarkStart w:id="2959" w:name="_Toc829"/>
      <w:bookmarkStart w:id="2960" w:name="_Toc31281"/>
      <w:bookmarkStart w:id="2961" w:name="_Toc10615"/>
      <w:bookmarkStart w:id="2962" w:name="_Toc2468"/>
      <w:bookmarkStart w:id="2963" w:name="_Toc21235"/>
      <w:r>
        <w:rPr>
          <w:rFonts w:hint="eastAsia" w:ascii="仿宋" w:hAnsi="仿宋" w:eastAsia="仿宋" w:cs="仿宋"/>
          <w:b w:val="0"/>
          <w:bCs w:val="0"/>
          <w:color w:val="000000"/>
          <w:lang w:bidi="ar"/>
        </w:rPr>
        <w:t>线上贴现授权承诺书（供应链平台模板）</w:t>
      </w:r>
      <w:bookmarkEnd w:id="2956"/>
      <w:bookmarkEnd w:id="2957"/>
      <w:bookmarkEnd w:id="2958"/>
      <w:bookmarkEnd w:id="2959"/>
      <w:bookmarkEnd w:id="2960"/>
      <w:bookmarkEnd w:id="2961"/>
      <w:bookmarkEnd w:id="2962"/>
      <w:bookmarkEnd w:id="2963"/>
    </w:p>
    <w:p>
      <w:pPr>
        <w:adjustRightInd w:val="0"/>
        <w:snapToGrid w:val="0"/>
        <w:spacing w:line="360" w:lineRule="auto"/>
        <w:jc w:val="center"/>
        <w:rPr>
          <w:rFonts w:ascii="仿宋" w:hAnsi="仿宋" w:eastAsia="仿宋" w:cs="仿宋"/>
          <w:b/>
          <w:sz w:val="32"/>
          <w:szCs w:val="32"/>
        </w:rPr>
      </w:pPr>
      <w:r>
        <w:rPr>
          <w:rFonts w:hint="eastAsia" w:ascii="黑体" w:hAnsi="宋体" w:eastAsia="黑体" w:cs="黑体"/>
          <w:sz w:val="36"/>
          <w:szCs w:val="36"/>
          <w:lang w:bidi="ar"/>
        </w:rPr>
        <w:t>授权承诺书指引</w:t>
      </w:r>
    </w:p>
    <w:p>
      <w:pPr>
        <w:widowControl/>
        <w:adjustRightInd w:val="0"/>
        <w:snapToGrid w:val="0"/>
        <w:spacing w:line="590" w:lineRule="exact"/>
        <w:ind w:firstLine="640" w:firstLineChars="200"/>
        <w:jc w:val="left"/>
        <w:rPr>
          <w:rFonts w:ascii="仿宋" w:hAnsi="仿宋" w:eastAsia="仿宋" w:cs="仿宋"/>
          <w:color w:val="000000"/>
          <w:kern w:val="0"/>
          <w:sz w:val="32"/>
          <w:szCs w:val="32"/>
          <w:lang w:bidi="ar"/>
        </w:rPr>
      </w:pPr>
    </w:p>
    <w:p>
      <w:pPr>
        <w:widowControl w:val="0"/>
        <w:adjustRightInd/>
        <w:snapToGrid/>
        <w:spacing w:line="59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lang w:bidi="ar"/>
        </w:rPr>
        <w:t>我单位通过____________（以下称“供应链平台”）办理线上贴现业务。特此向供应链平台、线上贴现业务下贴现机构和上海票据交易所作出以下承诺和授权：</w:t>
      </w:r>
    </w:p>
    <w:p>
      <w:pPr>
        <w:widowControl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一、保证我单位依法从事经营活动，具有签订和履行本授权承诺书所必须的民事权利能力和民事行为能力，能独立承担民事责任。</w:t>
      </w:r>
    </w:p>
    <w:p>
      <w:pPr>
        <w:widowControl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二、已充分了解线上贴现业务的性质和内容，并承诺遵守票据法律法规、金融管理部门规范性文件以及《上海票据交易所业务指南》等票交所业务规则（以上统称为“线上贴现业务制度”）。</w:t>
      </w:r>
    </w:p>
    <w:p>
      <w:pPr>
        <w:widowControl w:val="0"/>
        <w:adjustRightInd/>
        <w:snapToGrid/>
        <w:spacing w:line="590" w:lineRule="exact"/>
        <w:ind w:firstLine="640" w:firstLineChars="200"/>
        <w:jc w:val="left"/>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三、承诺拥有</w:t>
      </w:r>
      <w:r>
        <w:rPr>
          <w:rFonts w:hint="eastAsia" w:ascii="仿宋" w:hAnsi="仿宋" w:eastAsia="仿宋" w:cs="仿宋"/>
          <w:color w:val="000000"/>
          <w:kern w:val="0"/>
          <w:sz w:val="32"/>
          <w:szCs w:val="32"/>
        </w:rPr>
        <w:t>询价</w:t>
      </w:r>
      <w:r>
        <w:rPr>
          <w:rFonts w:hint="eastAsia" w:ascii="仿宋" w:hAnsi="仿宋" w:eastAsia="仿宋" w:cs="仿宋"/>
          <w:color w:val="000000"/>
          <w:kern w:val="0"/>
          <w:sz w:val="32"/>
          <w:szCs w:val="32"/>
          <w:lang w:bidi="ar"/>
        </w:rPr>
        <w:t>票据的完整票据权利，与出票人或直接前手之间具有真实的交易关系和债权债务关系。承诺在票据上的签章真实、合法、有效，票据上不存在伪造、变造或虚假记载事项，不存在被利害关系人申请挂失止付、公示催告或被有权机关查封、冻结等限制票据权利的情形。</w:t>
      </w:r>
    </w:p>
    <w:p>
      <w:pPr>
        <w:widowControl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四、授权供应链平台将我单位操作指令转发到票据业务系统。供应链平台在票据业务系统发出的我单位信息登记、签约申请、询价、成交等全部业务，是我单位的真实意思表示，我单位愿意承担由此产生的法律责任。</w:t>
      </w:r>
    </w:p>
    <w:p>
      <w:pPr>
        <w:widowControl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五、在企业签约、</w:t>
      </w:r>
      <w:r>
        <w:rPr>
          <w:rFonts w:hint="eastAsia" w:ascii="仿宋" w:hAnsi="仿宋" w:eastAsia="仿宋" w:cs="仿宋"/>
          <w:color w:val="000000"/>
          <w:kern w:val="0"/>
          <w:sz w:val="32"/>
          <w:szCs w:val="32"/>
        </w:rPr>
        <w:t>贴现</w:t>
      </w:r>
      <w:r>
        <w:rPr>
          <w:rFonts w:hint="eastAsia" w:ascii="仿宋" w:hAnsi="仿宋" w:eastAsia="仿宋" w:cs="仿宋"/>
          <w:color w:val="000000"/>
          <w:kern w:val="0"/>
          <w:sz w:val="32"/>
          <w:szCs w:val="32"/>
          <w:lang w:bidi="ar"/>
        </w:rPr>
        <w:t>询价时，同意有关贴现机构查询并使用我单位在票据业务系统登记的贴现申请人信息，同意有关贴现机构通过金融信用信息基础数据库查询并使用我公司相关信息，同意将贴现合同下有关信息提供给金融信用信息基础数据库。</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六、承认本</w:t>
      </w:r>
      <w:r>
        <w:rPr>
          <w:rFonts w:hint="eastAsia" w:ascii="仿宋" w:hAnsi="仿宋" w:eastAsia="仿宋" w:cs="仿宋"/>
          <w:color w:val="000000"/>
          <w:kern w:val="0"/>
          <w:sz w:val="32"/>
          <w:szCs w:val="32"/>
        </w:rPr>
        <w:t>授权承诺</w:t>
      </w:r>
      <w:r>
        <w:rPr>
          <w:rFonts w:hint="eastAsia" w:ascii="仿宋" w:hAnsi="仿宋" w:eastAsia="仿宋" w:cs="仿宋"/>
          <w:color w:val="000000"/>
          <w:kern w:val="0"/>
          <w:sz w:val="32"/>
          <w:szCs w:val="32"/>
          <w:lang w:bidi="ar"/>
        </w:rPr>
        <w:t>书和意向成交单、</w:t>
      </w:r>
      <w:r>
        <w:rPr>
          <w:rFonts w:hint="eastAsia" w:ascii="仿宋" w:hAnsi="仿宋" w:eastAsia="仿宋" w:cs="仿宋"/>
          <w:color w:val="000000"/>
          <w:kern w:val="0"/>
          <w:sz w:val="32"/>
          <w:szCs w:val="32"/>
        </w:rPr>
        <w:t>《上海票据交易所业务指南》</w:t>
      </w:r>
      <w:r>
        <w:rPr>
          <w:rFonts w:hint="eastAsia" w:ascii="仿宋" w:hAnsi="仿宋" w:eastAsia="仿宋" w:cs="仿宋"/>
          <w:color w:val="000000"/>
          <w:kern w:val="0"/>
          <w:sz w:val="32"/>
          <w:szCs w:val="32"/>
          <w:lang w:bidi="ar"/>
        </w:rPr>
        <w:t>构成我单位和贴现机构之间的贴现合同。授权</w:t>
      </w:r>
      <w:r>
        <w:rPr>
          <w:rFonts w:hint="eastAsia" w:ascii="仿宋" w:hAnsi="仿宋" w:eastAsia="仿宋" w:cs="仿宋"/>
          <w:color w:val="000000"/>
          <w:kern w:val="0"/>
          <w:sz w:val="32"/>
          <w:szCs w:val="32"/>
        </w:rPr>
        <w:t>上海票据交易所按照线上贴现业务制度对我单位票据进行系统控制，并</w:t>
      </w:r>
      <w:r>
        <w:rPr>
          <w:rFonts w:hint="eastAsia" w:ascii="仿宋" w:hAnsi="仿宋" w:eastAsia="仿宋" w:cs="仿宋"/>
          <w:color w:val="000000"/>
          <w:kern w:val="0"/>
          <w:sz w:val="32"/>
          <w:szCs w:val="32"/>
          <w:lang w:bidi="ar"/>
        </w:rPr>
        <w:t>按照意向成交单</w:t>
      </w:r>
      <w:r>
        <w:rPr>
          <w:rFonts w:hint="eastAsia" w:ascii="仿宋" w:hAnsi="仿宋" w:eastAsia="仿宋" w:cs="仿宋"/>
          <w:color w:val="000000"/>
          <w:kern w:val="0"/>
          <w:sz w:val="32"/>
          <w:szCs w:val="32"/>
        </w:rPr>
        <w:t>进行权属变更处理</w:t>
      </w:r>
      <w:r>
        <w:rPr>
          <w:rFonts w:hint="eastAsia" w:ascii="仿宋" w:hAnsi="仿宋" w:eastAsia="仿宋" w:cs="仿宋"/>
          <w:color w:val="000000"/>
          <w:kern w:val="0"/>
          <w:sz w:val="32"/>
          <w:szCs w:val="32"/>
          <w:lang w:bidi="ar"/>
        </w:rPr>
        <w:t>。我单位不擅自变更或解除合同，且转让给贴现机构的票据不存在任何转让限制。</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七、保证同一时间对同一张票据只通过一个供应链平台询价。</w:t>
      </w:r>
    </w:p>
    <w:p>
      <w:pPr>
        <w:adjustRightInd/>
        <w:snapToGrid/>
        <w:spacing w:line="590" w:lineRule="exact"/>
        <w:ind w:firstLine="640" w:firstLineChars="200"/>
        <w:rPr>
          <w:rFonts w:ascii="仿宋" w:hAnsi="Times New Roman"/>
          <w:kern w:val="0"/>
          <w:sz w:val="32"/>
        </w:rPr>
      </w:pPr>
      <w:r>
        <w:rPr>
          <w:rFonts w:hint="eastAsia" w:ascii="仿宋" w:hAnsi="仿宋" w:eastAsia="仿宋" w:cs="仿宋"/>
          <w:color w:val="000000"/>
          <w:kern w:val="0"/>
          <w:sz w:val="32"/>
          <w:szCs w:val="32"/>
          <w:lang w:bidi="ar"/>
        </w:rPr>
        <w:t>八、承诺积极配合贴现机构提供相关业务资料，且在</w:t>
      </w:r>
      <w:r>
        <w:rPr>
          <w:rFonts w:hint="eastAsia" w:ascii="仿宋" w:hAnsi="仿宋" w:eastAsia="仿宋" w:cs="仿宋"/>
          <w:color w:val="000000"/>
          <w:kern w:val="0"/>
          <w:sz w:val="32"/>
          <w:szCs w:val="32"/>
        </w:rPr>
        <w:t>线上贴现</w:t>
      </w:r>
      <w:r>
        <w:rPr>
          <w:rFonts w:hint="eastAsia" w:ascii="仿宋" w:hAnsi="仿宋" w:eastAsia="仿宋" w:cs="仿宋"/>
          <w:color w:val="000000"/>
          <w:kern w:val="0"/>
          <w:sz w:val="32"/>
          <w:szCs w:val="32"/>
          <w:lang w:bidi="ar"/>
        </w:rPr>
        <w:t>业务下提供的信息资料均真实、准确、完整而无任何隐瞒或遗漏，信息发生变更时，会以书面形式及时通知已贴现机构。</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九、承诺通过</w:t>
      </w:r>
      <w:r>
        <w:rPr>
          <w:rFonts w:hint="eastAsia" w:ascii="仿宋" w:hAnsi="仿宋" w:eastAsia="仿宋" w:cs="仿宋"/>
          <w:color w:val="000000"/>
          <w:kern w:val="0"/>
          <w:sz w:val="32"/>
          <w:szCs w:val="32"/>
        </w:rPr>
        <w:t>线上贴现</w:t>
      </w:r>
      <w:r>
        <w:rPr>
          <w:rFonts w:hint="eastAsia" w:ascii="仿宋" w:hAnsi="仿宋" w:eastAsia="仿宋" w:cs="仿宋"/>
          <w:color w:val="000000"/>
          <w:kern w:val="0"/>
          <w:sz w:val="32"/>
          <w:szCs w:val="32"/>
          <w:lang w:bidi="ar"/>
        </w:rPr>
        <w:t>业务所得贴现资金用于我单位正常的生产经营活动，不将贴现资金直接转回出票人账户；不将贴现资金转存保证金后滚动申请签发银行承兑汇票；不使用贴现资金还旧借新；不将贴现资金流入国家禁止生产、经营的领域。承诺积极配合贴现资金使用情况检查和相关反洗钱调查。</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贴现机构按照有关规则向我单位发起追索时，承诺予以配合，并将在收到电子追索通知之次日起三个工作日内，将票据金额、行使追索权的费用及迟收利息(按票据金额每日万分之一点五计算，自票据到期日起至清偿日止)足额划入贴现机构指定账户。</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十一、若发生违反线上贴现业务制度和贴现合同的行为给贴现机构造成损失的，承担赔偿责任。</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十二、与贴现机构在线上贴现业务项下发生争议，经协商无法达成一致的，我单位同意提交贴现机构所在地人民法院诉讼解决。</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十三、承诺发生以下行为的，不追究上海票据交易所和贴现机构的责任：</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一）上海票据交易所中断或部分中断提供服务是由于网络通讯传输障碍、电力供应障碍、与上海票据交易所系统相联接的其他第三方机构业务系统的故障和地震、火灾、洪水、战争、疫情等不可控灾害，或其他在合理范围内无法控制的、预见亦不能避免的或不可预见的意外事件等原因造成，由此引起的损失或损害。</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（二）我单位的行为出于欺诈或其他非法目的，或未遵守线上贴现业务制度，或未能正确依据上海票据交易所业务规则的说明办理业务。</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 xml:space="preserve">（三）在任何情况下，因使用或无法使用上海票据交易所提供的服务所导致的间接损失。 </w:t>
      </w:r>
    </w:p>
    <w:p>
      <w:pPr>
        <w:autoSpaceDE w:val="0"/>
        <w:autoSpaceDN w:val="0"/>
        <w:adjustRightInd/>
        <w:snapToGrid/>
        <w:spacing w:line="590" w:lineRule="exact"/>
        <w:ind w:firstLine="640" w:firstLineChars="200"/>
        <w:rPr>
          <w:rFonts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（四）在上海票据交易所主管部门特殊要求或市场整体利益需要的情况下，更改或持续性更改运营时间，或暂时中止上海票据交易所系统，或停止提供部分服务。</w:t>
      </w:r>
    </w:p>
    <w:p>
      <w:pPr>
        <w:adjustRightInd/>
        <w:snapToGrid/>
        <w:spacing w:line="590" w:lineRule="exact"/>
        <w:ind w:firstLine="640" w:firstLineChars="200"/>
        <w:rPr>
          <w:rFonts w:ascii="仿宋" w:hAnsi="仿宋" w:eastAsia="仿宋" w:cs="仿宋"/>
          <w:kern w:val="0"/>
          <w:sz w:val="32"/>
          <w:szCs w:val="32"/>
        </w:rPr>
      </w:pPr>
      <w:r>
        <w:rPr>
          <w:rFonts w:hint="eastAsia" w:ascii="仿宋" w:hAnsi="仿宋" w:eastAsia="仿宋" w:cs="仿宋"/>
          <w:color w:val="000000"/>
          <w:kern w:val="0"/>
          <w:sz w:val="32"/>
          <w:szCs w:val="32"/>
          <w:lang w:bidi="ar"/>
        </w:rPr>
        <w:t>十四、</w:t>
      </w:r>
      <w:r>
        <w:rPr>
          <w:rFonts w:hint="eastAsia" w:ascii="仿宋" w:hAnsi="仿宋" w:eastAsia="仿宋" w:cs="仿宋"/>
          <w:kern w:val="0"/>
          <w:sz w:val="32"/>
          <w:szCs w:val="32"/>
          <w:lang w:bidi="ar"/>
        </w:rPr>
        <w:t>线上贴现业务下的通知、要求、本协议所涉之债务催收、诉讼的法律文书或其他通信可交付或发送至本授权承诺书落款处我单位地址或联系方式。采用邮寄送达被退回的，以文书退回之日视为送达之日。</w:t>
      </w:r>
    </w:p>
    <w:p>
      <w:pPr>
        <w:adjustRightInd/>
        <w:snapToGrid/>
        <w:spacing w:line="590" w:lineRule="exact"/>
        <w:ind w:firstLine="640" w:firstLineChars="200"/>
        <w:rPr>
          <w:rFonts w:ascii="仿宋" w:hAnsi="仿宋" w:eastAsia="仿宋" w:cs="仿宋"/>
          <w:kern w:val="0"/>
          <w:sz w:val="32"/>
          <w:szCs w:val="32"/>
          <w:lang w:bidi="ar"/>
        </w:rPr>
      </w:pPr>
      <w:r>
        <w:rPr>
          <w:rFonts w:hint="eastAsia" w:ascii="仿宋" w:hAnsi="仿宋" w:eastAsia="仿宋" w:cs="仿宋"/>
          <w:color w:val="000000"/>
          <w:kern w:val="0"/>
          <w:sz w:val="32"/>
          <w:szCs w:val="32"/>
          <w:lang w:bidi="ar"/>
        </w:rPr>
        <w:t>十五</w:t>
      </w:r>
      <w:r>
        <w:rPr>
          <w:rFonts w:hint="eastAsia" w:ascii="仿宋" w:hAnsi="仿宋" w:eastAsia="仿宋" w:cs="仿宋"/>
          <w:kern w:val="0"/>
          <w:sz w:val="32"/>
          <w:szCs w:val="32"/>
          <w:lang w:bidi="ar"/>
        </w:rPr>
        <w:t>、签署和履行本授权承诺书是自愿的，为我单位真实意思表示，本授权承诺书的签署和履行不违反我单位章程或任何对我单位有约束力的协议等法律文件。</w:t>
      </w:r>
    </w:p>
    <w:p>
      <w:pPr>
        <w:adjustRightInd/>
        <w:snapToGrid/>
        <w:spacing w:line="590" w:lineRule="exact"/>
        <w:ind w:firstLine="640" w:firstLineChars="200"/>
        <w:rPr>
          <w:rFonts w:hint="eastAsia" w:ascii="仿宋" w:hAnsi="仿宋" w:eastAsia="仿宋" w:cs="仿宋"/>
          <w:color w:val="000000"/>
          <w:kern w:val="0"/>
          <w:sz w:val="32"/>
          <w:szCs w:val="32"/>
          <w:lang w:bidi="ar"/>
        </w:rPr>
      </w:pPr>
      <w:r>
        <w:rPr>
          <w:rFonts w:hint="eastAsia" w:ascii="仿宋" w:hAnsi="仿宋" w:eastAsia="仿宋" w:cs="仿宋"/>
          <w:kern w:val="0"/>
          <w:sz w:val="32"/>
          <w:szCs w:val="32"/>
          <w:lang w:bidi="ar"/>
        </w:rPr>
        <w:t>十六、授权期限：</w:t>
      </w:r>
      <w:r>
        <w:rPr>
          <w:rFonts w:hint="eastAsia" w:ascii="仿宋" w:hAnsi="仿宋" w:eastAsia="仿宋" w:cs="仿宋"/>
          <w:color w:val="000000"/>
          <w:kern w:val="0"/>
          <w:sz w:val="32"/>
          <w:szCs w:val="32"/>
          <w:lang w:bidi="ar"/>
        </w:rPr>
        <w:t>____________。</w:t>
      </w:r>
    </w:p>
    <w:p>
      <w:pPr>
        <w:adjustRightInd w:val="0"/>
        <w:snapToGrid w:val="0"/>
        <w:spacing w:line="590" w:lineRule="exact"/>
        <w:ind w:firstLine="640" w:firstLineChars="200"/>
        <w:rPr>
          <w:rFonts w:hint="eastAsia" w:ascii="仿宋" w:hAnsi="仿宋" w:eastAsia="仿宋" w:cs="仿宋"/>
          <w:color w:val="000000"/>
          <w:kern w:val="0"/>
          <w:sz w:val="32"/>
          <w:szCs w:val="32"/>
          <w:lang w:bidi="ar"/>
        </w:rPr>
      </w:pPr>
    </w:p>
    <w:p>
      <w:pPr>
        <w:adjustRightInd w:val="0"/>
        <w:snapToGrid w:val="0"/>
        <w:spacing w:line="590" w:lineRule="exact"/>
        <w:ind w:firstLine="640" w:firstLineChars="200"/>
        <w:rPr>
          <w:rFonts w:ascii="仿宋" w:hAnsi="仿宋" w:eastAsia="仿宋" w:cs="仿宋"/>
          <w:color w:val="000000"/>
          <w:kern w:val="0"/>
          <w:sz w:val="32"/>
          <w:szCs w:val="32"/>
          <w:lang w:bidi="ar"/>
        </w:rPr>
      </w:pPr>
    </w:p>
    <w:p>
      <w:pPr>
        <w:adjustRightInd w:val="0"/>
        <w:snapToGrid w:val="0"/>
        <w:spacing w:line="590" w:lineRule="exact"/>
        <w:ind w:firstLine="640" w:firstLineChars="200"/>
        <w:rPr>
          <w:rFonts w:ascii="仿宋" w:hAnsi="仿宋" w:eastAsia="仿宋" w:cs="仿宋"/>
          <w:color w:val="000000"/>
          <w:kern w:val="0"/>
          <w:sz w:val="32"/>
          <w:szCs w:val="32"/>
          <w:lang w:bidi="ar"/>
        </w:rPr>
      </w:pPr>
    </w:p>
    <w:p>
      <w:pPr>
        <w:autoSpaceDE w:val="0"/>
        <w:autoSpaceDN w:val="0"/>
        <w:adjustRightInd/>
        <w:snapToGrid/>
        <w:spacing w:line="590" w:lineRule="exact"/>
        <w:ind w:firstLine="3840" w:firstLineChars="1200"/>
        <w:rPr>
          <w:rFonts w:ascii="仿宋" w:hAnsi="仿宋" w:eastAsia="仿宋" w:cs="仿宋"/>
          <w:sz w:val="32"/>
          <w:szCs w:val="32"/>
        </w:rPr>
      </w:pPr>
      <w:r>
        <w:rPr>
          <w:rFonts w:hint="eastAsia" w:ascii="仿宋" w:hAnsi="仿宋" w:eastAsia="仿宋" w:cs="仿宋"/>
          <w:sz w:val="32"/>
          <w:szCs w:val="32"/>
          <w:lang w:bidi="ar"/>
        </w:rPr>
        <w:t>授权承诺人（公章）</w:t>
      </w:r>
    </w:p>
    <w:p>
      <w:pPr>
        <w:autoSpaceDE w:val="0"/>
        <w:autoSpaceDN w:val="0"/>
        <w:adjustRightInd/>
        <w:snapToGrid/>
        <w:spacing w:line="590" w:lineRule="exact"/>
        <w:ind w:firstLine="3840" w:firstLineChars="1200"/>
        <w:rPr>
          <w:rFonts w:ascii="仿宋" w:hAnsi="仿宋" w:eastAsia="仿宋" w:cs="仿宋"/>
          <w:kern w:val="0"/>
          <w:sz w:val="32"/>
          <w:szCs w:val="32"/>
        </w:rPr>
      </w:pPr>
      <w:r>
        <w:rPr>
          <w:rFonts w:hint="eastAsia" w:ascii="仿宋" w:hAnsi="仿宋" w:eastAsia="仿宋" w:cs="仿宋"/>
          <w:kern w:val="0"/>
          <w:sz w:val="32"/>
          <w:szCs w:val="32"/>
          <w:lang w:bidi="ar"/>
        </w:rPr>
        <w:t xml:space="preserve">地    址： </w:t>
      </w:r>
    </w:p>
    <w:p>
      <w:pPr>
        <w:adjustRightInd/>
        <w:snapToGrid/>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邮政编码：</w:t>
      </w:r>
    </w:p>
    <w:p>
      <w:pPr>
        <w:adjustRightInd/>
        <w:snapToGrid/>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联 系 人：</w:t>
      </w:r>
    </w:p>
    <w:p>
      <w:pPr>
        <w:adjustRightInd/>
        <w:snapToGrid/>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联系电话：</w:t>
      </w:r>
    </w:p>
    <w:p>
      <w:pPr>
        <w:adjustRightInd/>
        <w:snapToGrid/>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传    真：</w:t>
      </w:r>
    </w:p>
    <w:p>
      <w:pPr>
        <w:adjustRightInd/>
        <w:snapToGrid/>
        <w:spacing w:line="590" w:lineRule="exact"/>
        <w:ind w:firstLine="3840" w:firstLineChars="1200"/>
        <w:textAlignment w:val="baseline"/>
        <w:rPr>
          <w:rFonts w:ascii="仿宋" w:hAnsi="仿宋" w:eastAsia="仿宋" w:cs="仿宋"/>
          <w:kern w:val="0"/>
          <w:sz w:val="32"/>
          <w:szCs w:val="32"/>
        </w:rPr>
      </w:pPr>
      <w:r>
        <w:rPr>
          <w:rFonts w:hint="eastAsia" w:ascii="仿宋" w:hAnsi="仿宋" w:eastAsia="仿宋" w:cs="仿宋"/>
          <w:kern w:val="0"/>
          <w:sz w:val="32"/>
          <w:szCs w:val="32"/>
          <w:lang w:bidi="ar"/>
        </w:rPr>
        <w:t>电子邮箱：</w:t>
      </w:r>
    </w:p>
    <w:p>
      <w:pPr>
        <w:widowControl w:val="0"/>
        <w:adjustRightInd/>
        <w:snapToGrid/>
        <w:spacing w:line="590" w:lineRule="exact"/>
        <w:ind w:firstLine="3840" w:firstLineChars="1200"/>
        <w:rPr>
          <w:rStyle w:val="24"/>
        </w:rPr>
      </w:pPr>
      <w:r>
        <w:rPr>
          <w:rFonts w:hint="eastAsia" w:ascii="仿宋" w:hAnsi="仿宋" w:eastAsia="仿宋" w:cs="仿宋"/>
          <w:sz w:val="32"/>
          <w:szCs w:val="32"/>
          <w:lang w:bidi="ar"/>
        </w:rPr>
        <w:t>年  月  日</w:t>
      </w:r>
    </w:p>
    <w:p>
      <w:pPr>
        <w:widowControl/>
        <w:rPr>
          <w:rStyle w:val="24"/>
        </w:rPr>
      </w:pPr>
      <w:r>
        <w:rPr>
          <w:rStyle w:val="24"/>
        </w:rPr>
        <w:br w:type="page"/>
      </w:r>
    </w:p>
    <w:p>
      <w:pPr>
        <w:pStyle w:val="3"/>
        <w:adjustRightInd w:val="0"/>
        <w:snapToGrid w:val="0"/>
        <w:spacing w:line="240" w:lineRule="auto"/>
        <w:textAlignment w:val="baseline"/>
        <w:rPr>
          <w:rFonts w:ascii="仿宋" w:hAnsi="仿宋" w:eastAsia="仿宋" w:cs="仿宋"/>
          <w:b w:val="0"/>
          <w:bCs w:val="0"/>
          <w:color w:val="000000"/>
          <w:lang w:bidi="ar"/>
        </w:rPr>
      </w:pPr>
      <w:bookmarkStart w:id="2964" w:name="_Toc11234"/>
      <w:bookmarkStart w:id="2965" w:name="_Toc16596"/>
      <w:bookmarkStart w:id="2966" w:name="_Toc28128"/>
      <w:bookmarkStart w:id="2967" w:name="_Toc14938"/>
      <w:bookmarkStart w:id="2968" w:name="_Toc12770"/>
      <w:bookmarkStart w:id="2969" w:name="_Toc32676"/>
      <w:bookmarkStart w:id="2970" w:name="_Toc904428969"/>
      <w:bookmarkStart w:id="2971" w:name="_Toc28789"/>
      <w:bookmarkStart w:id="2972" w:name="_Toc2148"/>
      <w:r>
        <w:rPr>
          <w:rFonts w:hint="eastAsia" w:ascii="仿宋" w:hAnsi="仿宋" w:eastAsia="仿宋" w:cs="仿宋"/>
          <w:b w:val="0"/>
          <w:bCs w:val="0"/>
          <w:color w:val="000000"/>
          <w:lang w:eastAsia="zh-CN" w:bidi="ar"/>
        </w:rPr>
        <w:t>附件14</w:t>
      </w:r>
      <w:r>
        <w:rPr>
          <w:rFonts w:hint="eastAsia" w:ascii="仿宋" w:hAnsi="仿宋" w:eastAsia="仿宋" w:cs="仿宋"/>
          <w:b w:val="0"/>
          <w:bCs w:val="0"/>
          <w:color w:val="000000"/>
          <w:lang w:bidi="ar"/>
        </w:rPr>
        <w:t>：</w:t>
      </w:r>
      <w:bookmarkEnd w:id="2964"/>
      <w:bookmarkEnd w:id="2965"/>
      <w:bookmarkEnd w:id="2966"/>
      <w:bookmarkEnd w:id="2967"/>
      <w:bookmarkEnd w:id="2968"/>
      <w:bookmarkEnd w:id="2969"/>
      <w:bookmarkEnd w:id="2970"/>
      <w:bookmarkEnd w:id="2971"/>
    </w:p>
    <w:p>
      <w:pPr>
        <w:pStyle w:val="3"/>
        <w:adjustRightInd w:val="0"/>
        <w:snapToGrid w:val="0"/>
        <w:spacing w:line="240" w:lineRule="auto"/>
        <w:jc w:val="center"/>
        <w:textAlignment w:val="baseline"/>
        <w:rPr>
          <w:rFonts w:ascii="仿宋" w:hAnsi="仿宋" w:eastAsia="仿宋" w:cs="仿宋"/>
          <w:color w:val="000000" w:themeColor="text1"/>
          <w:sz w:val="24"/>
          <w:szCs w:val="21"/>
          <w14:textFill>
            <w14:solidFill>
              <w14:schemeClr w14:val="tx1"/>
            </w14:solidFill>
          </w14:textFill>
        </w:rPr>
      </w:pPr>
      <w:bookmarkStart w:id="2973" w:name="_Toc24048"/>
      <w:bookmarkStart w:id="2974" w:name="_Toc151806701"/>
      <w:bookmarkStart w:id="2975" w:name="_Toc22868"/>
      <w:bookmarkStart w:id="2976" w:name="_Toc21392"/>
      <w:bookmarkStart w:id="2977" w:name="_Toc11799"/>
      <w:bookmarkStart w:id="2978" w:name="_Toc25406"/>
      <w:bookmarkStart w:id="2979" w:name="_Toc14014"/>
      <w:bookmarkStart w:id="2980" w:name="_Toc27182"/>
      <w:r>
        <w:rPr>
          <w:rFonts w:hint="eastAsia" w:ascii="黑体" w:hAnsi="黑体" w:eastAsia="黑体" w:cs="黑体"/>
          <w:b w:val="0"/>
          <w:bCs w:val="0"/>
          <w:color w:val="000000"/>
          <w:sz w:val="36"/>
          <w:szCs w:val="36"/>
          <w:lang w:bidi="ar"/>
        </w:rPr>
        <w:t>线上贴现意向成交单样式</w:t>
      </w:r>
      <w:bookmarkEnd w:id="2972"/>
      <w:bookmarkEnd w:id="2973"/>
      <w:bookmarkEnd w:id="2974"/>
      <w:bookmarkEnd w:id="2975"/>
      <w:bookmarkEnd w:id="2976"/>
      <w:bookmarkEnd w:id="2977"/>
      <w:bookmarkEnd w:id="2978"/>
      <w:bookmarkEnd w:id="2979"/>
      <w:bookmarkEnd w:id="2980"/>
    </w:p>
    <w:tbl>
      <w:tblPr>
        <w:tblStyle w:val="18"/>
        <w:tblW w:w="9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20"/>
        <w:gridCol w:w="534"/>
        <w:gridCol w:w="54"/>
        <w:gridCol w:w="192"/>
        <w:gridCol w:w="1160"/>
        <w:gridCol w:w="721"/>
        <w:gridCol w:w="239"/>
        <w:gridCol w:w="161"/>
        <w:gridCol w:w="1480"/>
        <w:gridCol w:w="671"/>
        <w:gridCol w:w="729"/>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062" w:type="dxa"/>
            <w:gridSpan w:val="13"/>
            <w:vAlign w:val="center"/>
          </w:tcPr>
          <w:p>
            <w:pPr>
              <w:widowControl/>
              <w:snapToGrid w:val="0"/>
              <w:jc w:val="center"/>
              <w:rPr>
                <w:rFonts w:ascii="仿宋" w:hAnsi="仿宋" w:eastAsia="仿宋" w:cs="仿宋"/>
                <w:b/>
                <w:bCs/>
                <w:color w:val="000000"/>
                <w:kern w:val="0"/>
                <w:sz w:val="24"/>
              </w:rPr>
            </w:pPr>
            <w:r>
              <w:rPr>
                <w:rFonts w:hint="eastAsia" w:ascii="黑体" w:hAnsi="黑体" w:eastAsia="黑体" w:cs="黑体"/>
                <w:color w:val="000000"/>
                <w:sz w:val="36"/>
                <w:szCs w:val="36"/>
                <w:lang w:bidi="ar"/>
              </w:rPr>
              <w:t>线上贴现意向成交单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4385" w:type="dxa"/>
            <w:gridSpan w:val="7"/>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成交时间：YYYY-MM-DD  HH:MM:SS</w:t>
            </w:r>
          </w:p>
        </w:tc>
        <w:tc>
          <w:tcPr>
            <w:tcW w:w="4677" w:type="dxa"/>
            <w:gridSpan w:val="6"/>
            <w:vAlign w:val="center"/>
          </w:tcPr>
          <w:p>
            <w:pPr>
              <w:widowControl/>
              <w:wordWrap w:val="0"/>
              <w:snapToGrid w:val="0"/>
              <w:jc w:val="right"/>
              <w:rPr>
                <w:rFonts w:ascii="仿宋" w:hAnsi="仿宋" w:eastAsia="仿宋" w:cs="仿宋"/>
                <w:color w:val="000000"/>
                <w:kern w:val="0"/>
                <w:sz w:val="24"/>
              </w:rPr>
            </w:pPr>
            <w:r>
              <w:rPr>
                <w:rFonts w:hint="eastAsia" w:ascii="仿宋" w:hAnsi="仿宋" w:eastAsia="仿宋" w:cs="仿宋"/>
                <w:color w:val="000000"/>
                <w:kern w:val="0"/>
                <w:sz w:val="24"/>
              </w:rPr>
              <w:t xml:space="preserve">成交单编号：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385" w:type="dxa"/>
            <w:gridSpan w:val="7"/>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贴入方信息</w:t>
            </w:r>
            <w:r>
              <w:rPr>
                <w:rStyle w:val="25"/>
                <w:rFonts w:hint="eastAsia" w:ascii="仿宋" w:hAnsi="仿宋" w:eastAsia="仿宋" w:cs="仿宋"/>
                <w:b/>
                <w:bCs/>
                <w:color w:val="000000"/>
                <w:kern w:val="0"/>
                <w:sz w:val="24"/>
              </w:rPr>
              <w:footnoteReference w:id="10"/>
            </w:r>
          </w:p>
        </w:tc>
        <w:tc>
          <w:tcPr>
            <w:tcW w:w="4677" w:type="dxa"/>
            <w:gridSpan w:val="6"/>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贴出方信息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机构名称</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restart"/>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贴现申请人名称</w:t>
            </w:r>
          </w:p>
        </w:tc>
        <w:tc>
          <w:tcPr>
            <w:tcW w:w="2126" w:type="dxa"/>
            <w:gridSpan w:val="2"/>
            <w:vMerge w:val="restart"/>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交易员</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continue"/>
            <w:vAlign w:val="center"/>
          </w:tcPr>
          <w:p>
            <w:pPr>
              <w:widowControl/>
              <w:snapToGrid w:val="0"/>
              <w:jc w:val="left"/>
              <w:rPr>
                <w:rFonts w:ascii="仿宋" w:hAnsi="仿宋" w:eastAsia="仿宋" w:cs="仿宋"/>
                <w:color w:val="000000"/>
                <w:kern w:val="0"/>
                <w:sz w:val="24"/>
              </w:rPr>
            </w:pPr>
          </w:p>
        </w:tc>
        <w:tc>
          <w:tcPr>
            <w:tcW w:w="2126" w:type="dxa"/>
            <w:gridSpan w:val="2"/>
            <w:vMerge w:val="continue"/>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交易员编号</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continue"/>
            <w:vAlign w:val="center"/>
          </w:tcPr>
          <w:p>
            <w:pPr>
              <w:widowControl/>
              <w:snapToGrid w:val="0"/>
              <w:jc w:val="left"/>
              <w:rPr>
                <w:rFonts w:ascii="仿宋" w:hAnsi="仿宋" w:eastAsia="仿宋" w:cs="仿宋"/>
                <w:color w:val="000000"/>
                <w:kern w:val="0"/>
                <w:sz w:val="24"/>
              </w:rPr>
            </w:pPr>
          </w:p>
        </w:tc>
        <w:tc>
          <w:tcPr>
            <w:tcW w:w="2126" w:type="dxa"/>
            <w:gridSpan w:val="2"/>
            <w:vMerge w:val="continue"/>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电话</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continue"/>
            <w:vAlign w:val="center"/>
          </w:tcPr>
          <w:p>
            <w:pPr>
              <w:widowControl/>
              <w:snapToGrid w:val="0"/>
              <w:jc w:val="left"/>
              <w:rPr>
                <w:rFonts w:ascii="仿宋" w:hAnsi="仿宋" w:eastAsia="仿宋" w:cs="仿宋"/>
                <w:color w:val="000000"/>
                <w:kern w:val="0"/>
                <w:sz w:val="24"/>
              </w:rPr>
            </w:pPr>
          </w:p>
        </w:tc>
        <w:tc>
          <w:tcPr>
            <w:tcW w:w="2126" w:type="dxa"/>
            <w:gridSpan w:val="2"/>
            <w:vMerge w:val="continue"/>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参与者代码</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restart"/>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贴现申请人社会信用代码</w:t>
            </w:r>
          </w:p>
        </w:tc>
        <w:tc>
          <w:tcPr>
            <w:tcW w:w="2126" w:type="dxa"/>
            <w:gridSpan w:val="2"/>
            <w:vMerge w:val="restart"/>
            <w:vAlign w:val="center"/>
          </w:tcPr>
          <w:p>
            <w:pPr>
              <w:widowControl/>
              <w:snapToGrid w:val="0"/>
              <w:jc w:val="left"/>
              <w:rPr>
                <w:rFonts w:ascii="仿宋" w:hAnsi="仿宋" w:eastAsia="仿宋" w:cs="仿宋"/>
                <w:color w:val="000000"/>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开户行行号</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continue"/>
            <w:vAlign w:val="center"/>
          </w:tcPr>
          <w:p>
            <w:pPr>
              <w:widowControl/>
              <w:snapToGrid w:val="0"/>
              <w:jc w:val="left"/>
              <w:rPr>
                <w:rFonts w:ascii="仿宋" w:hAnsi="仿宋" w:eastAsia="仿宋" w:cs="仿宋"/>
                <w:color w:val="000000"/>
                <w:kern w:val="0"/>
                <w:sz w:val="24"/>
                <w:highlight w:val="yellow"/>
              </w:rPr>
            </w:pPr>
          </w:p>
        </w:tc>
        <w:tc>
          <w:tcPr>
            <w:tcW w:w="2126" w:type="dxa"/>
            <w:gridSpan w:val="2"/>
            <w:vMerge w:val="continue"/>
            <w:vAlign w:val="center"/>
          </w:tcPr>
          <w:p>
            <w:pPr>
              <w:widowControl/>
              <w:snapToGrid w:val="0"/>
              <w:jc w:val="left"/>
              <w:rPr>
                <w:rFonts w:ascii="仿宋" w:hAnsi="仿宋" w:eastAsia="仿宋" w:cs="仿宋"/>
                <w:color w:val="000000"/>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账号</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Merge w:val="continue"/>
            <w:vAlign w:val="center"/>
          </w:tcPr>
          <w:p>
            <w:pPr>
              <w:widowControl/>
              <w:snapToGrid w:val="0"/>
              <w:jc w:val="left"/>
              <w:rPr>
                <w:rFonts w:ascii="仿宋" w:hAnsi="仿宋" w:eastAsia="仿宋" w:cs="仿宋"/>
                <w:color w:val="000000"/>
                <w:kern w:val="0"/>
                <w:sz w:val="24"/>
                <w:highlight w:val="yellow"/>
              </w:rPr>
            </w:pPr>
          </w:p>
        </w:tc>
        <w:tc>
          <w:tcPr>
            <w:tcW w:w="2126" w:type="dxa"/>
            <w:gridSpan w:val="2"/>
            <w:vMerge w:val="continue"/>
            <w:vAlign w:val="center"/>
          </w:tcPr>
          <w:p>
            <w:pPr>
              <w:widowControl/>
              <w:snapToGrid w:val="0"/>
              <w:jc w:val="left"/>
              <w:rPr>
                <w:rFonts w:ascii="仿宋" w:hAnsi="仿宋" w:eastAsia="仿宋" w:cs="仿宋"/>
                <w:color w:val="000000"/>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062" w:type="dxa"/>
            <w:gridSpan w:val="13"/>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贴出方服务机构</w:t>
            </w:r>
            <w:r>
              <w:rPr>
                <w:rStyle w:val="25"/>
                <w:rFonts w:hint="eastAsia" w:ascii="仿宋" w:hAnsi="仿宋" w:eastAsia="仿宋" w:cs="仿宋"/>
                <w:b/>
                <w:bCs/>
                <w:color w:val="000000"/>
                <w:kern w:val="0"/>
                <w:sz w:val="24"/>
              </w:rPr>
              <w:footnoteReference w:id="1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385" w:type="dxa"/>
            <w:gridSpan w:val="7"/>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机构名称</w:t>
            </w:r>
          </w:p>
        </w:tc>
        <w:tc>
          <w:tcPr>
            <w:tcW w:w="4677" w:type="dxa"/>
            <w:gridSpan w:val="6"/>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385" w:type="dxa"/>
            <w:gridSpan w:val="7"/>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机构代码</w:t>
            </w:r>
          </w:p>
        </w:tc>
        <w:tc>
          <w:tcPr>
            <w:tcW w:w="4677" w:type="dxa"/>
            <w:gridSpan w:val="6"/>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062" w:type="dxa"/>
            <w:gridSpan w:val="13"/>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意向成交信息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票据（包）总额</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票据（包）张数</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贴现利率（%）</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应付利息（元）</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结算金额（元）</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结算方式</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结算日</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加权平均剩余期限</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票据类别</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票据介质</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258"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票据所在渠道名称</w:t>
            </w:r>
          </w:p>
        </w:tc>
        <w:tc>
          <w:tcPr>
            <w:tcW w:w="2127" w:type="dxa"/>
            <w:gridSpan w:val="4"/>
            <w:vAlign w:val="center"/>
          </w:tcPr>
          <w:p>
            <w:pPr>
              <w:widowControl/>
              <w:snapToGrid w:val="0"/>
              <w:jc w:val="left"/>
              <w:rPr>
                <w:rFonts w:ascii="仿宋" w:hAnsi="仿宋" w:eastAsia="仿宋" w:cs="仿宋"/>
                <w:color w:val="000000"/>
                <w:kern w:val="0"/>
                <w:sz w:val="24"/>
              </w:rPr>
            </w:pPr>
          </w:p>
        </w:tc>
        <w:tc>
          <w:tcPr>
            <w:tcW w:w="2551" w:type="dxa"/>
            <w:gridSpan w:val="4"/>
            <w:vAlign w:val="center"/>
          </w:tcPr>
          <w:p>
            <w:pPr>
              <w:widowControl/>
              <w:snapToGrid w:val="0"/>
              <w:jc w:val="left"/>
              <w:rPr>
                <w:rFonts w:ascii="仿宋" w:hAnsi="仿宋" w:eastAsia="仿宋" w:cs="仿宋"/>
                <w:color w:val="000000"/>
                <w:kern w:val="0"/>
                <w:sz w:val="24"/>
              </w:rPr>
            </w:pP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9062" w:type="dxa"/>
            <w:gridSpan w:val="13"/>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资金入账账户信息</w:t>
            </w:r>
            <w:r>
              <w:rPr>
                <w:rStyle w:val="25"/>
                <w:rFonts w:hint="eastAsia" w:ascii="仿宋" w:hAnsi="仿宋" w:eastAsia="仿宋" w:cs="仿宋"/>
                <w:b/>
                <w:bCs/>
                <w:color w:val="000000"/>
                <w:kern w:val="0"/>
                <w:sz w:val="24"/>
              </w:rPr>
              <w:footnoteReference w:id="1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312"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开户行名称</w:t>
            </w:r>
          </w:p>
        </w:tc>
        <w:tc>
          <w:tcPr>
            <w:tcW w:w="2312" w:type="dxa"/>
            <w:gridSpan w:val="4"/>
            <w:vAlign w:val="center"/>
          </w:tcPr>
          <w:p>
            <w:pPr>
              <w:widowControl/>
              <w:snapToGrid w:val="0"/>
              <w:jc w:val="left"/>
              <w:rPr>
                <w:rFonts w:ascii="仿宋" w:hAnsi="仿宋" w:eastAsia="仿宋" w:cs="仿宋"/>
                <w:color w:val="000000"/>
                <w:kern w:val="0"/>
                <w:sz w:val="24"/>
              </w:rPr>
            </w:pPr>
          </w:p>
        </w:tc>
        <w:tc>
          <w:tcPr>
            <w:tcW w:w="231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开户行行号</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312"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账户名称</w:t>
            </w:r>
          </w:p>
        </w:tc>
        <w:tc>
          <w:tcPr>
            <w:tcW w:w="2312" w:type="dxa"/>
            <w:gridSpan w:val="4"/>
            <w:vAlign w:val="center"/>
          </w:tcPr>
          <w:p>
            <w:pPr>
              <w:widowControl/>
              <w:snapToGrid w:val="0"/>
              <w:jc w:val="left"/>
              <w:rPr>
                <w:rFonts w:ascii="仿宋" w:hAnsi="仿宋" w:eastAsia="仿宋" w:cs="仿宋"/>
                <w:color w:val="000000"/>
                <w:kern w:val="0"/>
                <w:sz w:val="24"/>
              </w:rPr>
            </w:pPr>
          </w:p>
        </w:tc>
        <w:tc>
          <w:tcPr>
            <w:tcW w:w="231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账号</w:t>
            </w:r>
          </w:p>
        </w:tc>
        <w:tc>
          <w:tcPr>
            <w:tcW w:w="2126" w:type="dxa"/>
            <w:gridSpan w:val="2"/>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9062" w:type="dxa"/>
            <w:gridSpan w:val="13"/>
            <w:vAlign w:val="center"/>
          </w:tcPr>
          <w:p>
            <w:pPr>
              <w:widowControl/>
              <w:snapToGrid w:val="0"/>
              <w:jc w:val="center"/>
              <w:rPr>
                <w:rFonts w:ascii="仿宋" w:hAnsi="仿宋" w:eastAsia="仿宋" w:cs="仿宋"/>
                <w:color w:val="000000"/>
                <w:kern w:val="0"/>
                <w:sz w:val="24"/>
              </w:rPr>
            </w:pPr>
            <w:r>
              <w:rPr>
                <w:rFonts w:hint="eastAsia" w:ascii="仿宋" w:hAnsi="仿宋" w:eastAsia="仿宋" w:cs="仿宋"/>
                <w:b/>
                <w:bCs/>
                <w:color w:val="000000"/>
                <w:kern w:val="0"/>
                <w:sz w:val="24"/>
              </w:rPr>
              <w:t>票据清单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504" w:type="dxa"/>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序号</w:t>
            </w:r>
          </w:p>
        </w:tc>
        <w:tc>
          <w:tcPr>
            <w:tcW w:w="1220" w:type="dxa"/>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票据（包）号</w:t>
            </w:r>
          </w:p>
        </w:tc>
        <w:tc>
          <w:tcPr>
            <w:tcW w:w="780"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子票区间</w:t>
            </w:r>
          </w:p>
        </w:tc>
        <w:tc>
          <w:tcPr>
            <w:tcW w:w="1160" w:type="dxa"/>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票据（包）金额（元）</w:t>
            </w:r>
          </w:p>
        </w:tc>
        <w:tc>
          <w:tcPr>
            <w:tcW w:w="1121"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票据到期日</w:t>
            </w:r>
          </w:p>
        </w:tc>
        <w:tc>
          <w:tcPr>
            <w:tcW w:w="1480" w:type="dxa"/>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承兑人名称</w:t>
            </w:r>
          </w:p>
        </w:tc>
        <w:tc>
          <w:tcPr>
            <w:tcW w:w="140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应付利息（元）</w:t>
            </w:r>
          </w:p>
        </w:tc>
        <w:tc>
          <w:tcPr>
            <w:tcW w:w="1397" w:type="dxa"/>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504" w:type="dxa"/>
            <w:vAlign w:val="center"/>
          </w:tcPr>
          <w:p>
            <w:pPr>
              <w:widowControl/>
              <w:snapToGrid w:val="0"/>
              <w:jc w:val="left"/>
              <w:rPr>
                <w:rFonts w:ascii="仿宋" w:hAnsi="仿宋" w:eastAsia="仿宋" w:cs="仿宋"/>
                <w:color w:val="000000"/>
                <w:kern w:val="0"/>
                <w:sz w:val="24"/>
              </w:rPr>
            </w:pPr>
          </w:p>
        </w:tc>
        <w:tc>
          <w:tcPr>
            <w:tcW w:w="1220" w:type="dxa"/>
            <w:vAlign w:val="center"/>
          </w:tcPr>
          <w:p>
            <w:pPr>
              <w:widowControl/>
              <w:snapToGrid w:val="0"/>
              <w:jc w:val="left"/>
              <w:rPr>
                <w:rFonts w:ascii="仿宋" w:hAnsi="仿宋" w:eastAsia="仿宋" w:cs="仿宋"/>
                <w:color w:val="000000"/>
                <w:kern w:val="0"/>
                <w:sz w:val="24"/>
              </w:rPr>
            </w:pPr>
          </w:p>
        </w:tc>
        <w:tc>
          <w:tcPr>
            <w:tcW w:w="780" w:type="dxa"/>
            <w:gridSpan w:val="3"/>
            <w:vAlign w:val="center"/>
          </w:tcPr>
          <w:p>
            <w:pPr>
              <w:widowControl/>
              <w:snapToGrid w:val="0"/>
              <w:jc w:val="left"/>
              <w:rPr>
                <w:rFonts w:ascii="仿宋" w:hAnsi="仿宋" w:eastAsia="仿宋" w:cs="仿宋"/>
                <w:color w:val="000000"/>
                <w:kern w:val="0"/>
                <w:sz w:val="24"/>
              </w:rPr>
            </w:pPr>
          </w:p>
        </w:tc>
        <w:tc>
          <w:tcPr>
            <w:tcW w:w="1160" w:type="dxa"/>
            <w:vAlign w:val="center"/>
          </w:tcPr>
          <w:p>
            <w:pPr>
              <w:widowControl/>
              <w:snapToGrid w:val="0"/>
              <w:jc w:val="left"/>
              <w:rPr>
                <w:rFonts w:ascii="仿宋" w:hAnsi="仿宋" w:eastAsia="仿宋" w:cs="仿宋"/>
                <w:color w:val="000000"/>
                <w:kern w:val="0"/>
                <w:sz w:val="24"/>
              </w:rPr>
            </w:pPr>
          </w:p>
        </w:tc>
        <w:tc>
          <w:tcPr>
            <w:tcW w:w="1121" w:type="dxa"/>
            <w:gridSpan w:val="3"/>
            <w:vAlign w:val="center"/>
          </w:tcPr>
          <w:p>
            <w:pPr>
              <w:widowControl/>
              <w:snapToGrid w:val="0"/>
              <w:jc w:val="left"/>
              <w:rPr>
                <w:rFonts w:ascii="仿宋" w:hAnsi="仿宋" w:eastAsia="仿宋" w:cs="仿宋"/>
                <w:color w:val="000000"/>
                <w:kern w:val="0"/>
                <w:sz w:val="24"/>
              </w:rPr>
            </w:pPr>
          </w:p>
        </w:tc>
        <w:tc>
          <w:tcPr>
            <w:tcW w:w="1480" w:type="dxa"/>
            <w:vAlign w:val="center"/>
          </w:tcPr>
          <w:p>
            <w:pPr>
              <w:widowControl/>
              <w:snapToGrid w:val="0"/>
              <w:jc w:val="left"/>
              <w:rPr>
                <w:rFonts w:ascii="仿宋" w:hAnsi="仿宋" w:eastAsia="仿宋" w:cs="仿宋"/>
                <w:color w:val="000000"/>
                <w:kern w:val="0"/>
                <w:sz w:val="24"/>
              </w:rPr>
            </w:pPr>
          </w:p>
        </w:tc>
        <w:tc>
          <w:tcPr>
            <w:tcW w:w="1400" w:type="dxa"/>
            <w:gridSpan w:val="2"/>
            <w:vAlign w:val="center"/>
          </w:tcPr>
          <w:p>
            <w:pPr>
              <w:widowControl/>
              <w:snapToGrid w:val="0"/>
              <w:jc w:val="left"/>
              <w:rPr>
                <w:rFonts w:ascii="仿宋" w:hAnsi="仿宋" w:eastAsia="仿宋" w:cs="仿宋"/>
                <w:color w:val="000000"/>
                <w:kern w:val="0"/>
                <w:sz w:val="24"/>
              </w:rPr>
            </w:pPr>
          </w:p>
        </w:tc>
        <w:tc>
          <w:tcPr>
            <w:tcW w:w="1397" w:type="dxa"/>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504" w:type="dxa"/>
            <w:vAlign w:val="center"/>
          </w:tcPr>
          <w:p>
            <w:pPr>
              <w:widowControl/>
              <w:snapToGrid w:val="0"/>
              <w:jc w:val="left"/>
              <w:rPr>
                <w:rFonts w:ascii="仿宋" w:hAnsi="仿宋" w:eastAsia="仿宋" w:cs="仿宋"/>
                <w:color w:val="000000"/>
                <w:kern w:val="0"/>
                <w:sz w:val="24"/>
              </w:rPr>
            </w:pPr>
          </w:p>
        </w:tc>
        <w:tc>
          <w:tcPr>
            <w:tcW w:w="1220" w:type="dxa"/>
            <w:vAlign w:val="center"/>
          </w:tcPr>
          <w:p>
            <w:pPr>
              <w:widowControl/>
              <w:snapToGrid w:val="0"/>
              <w:jc w:val="left"/>
              <w:rPr>
                <w:rFonts w:ascii="仿宋" w:hAnsi="仿宋" w:eastAsia="仿宋" w:cs="仿宋"/>
                <w:color w:val="000000"/>
                <w:kern w:val="0"/>
                <w:sz w:val="24"/>
              </w:rPr>
            </w:pPr>
          </w:p>
        </w:tc>
        <w:tc>
          <w:tcPr>
            <w:tcW w:w="780" w:type="dxa"/>
            <w:gridSpan w:val="3"/>
            <w:vAlign w:val="center"/>
          </w:tcPr>
          <w:p>
            <w:pPr>
              <w:widowControl/>
              <w:snapToGrid w:val="0"/>
              <w:jc w:val="left"/>
              <w:rPr>
                <w:rFonts w:ascii="仿宋" w:hAnsi="仿宋" w:eastAsia="仿宋" w:cs="仿宋"/>
                <w:color w:val="000000"/>
                <w:kern w:val="0"/>
                <w:sz w:val="24"/>
              </w:rPr>
            </w:pPr>
          </w:p>
        </w:tc>
        <w:tc>
          <w:tcPr>
            <w:tcW w:w="1160" w:type="dxa"/>
            <w:vAlign w:val="center"/>
          </w:tcPr>
          <w:p>
            <w:pPr>
              <w:widowControl/>
              <w:snapToGrid w:val="0"/>
              <w:jc w:val="left"/>
              <w:rPr>
                <w:rFonts w:ascii="仿宋" w:hAnsi="仿宋" w:eastAsia="仿宋" w:cs="仿宋"/>
                <w:color w:val="000000"/>
                <w:kern w:val="0"/>
                <w:sz w:val="24"/>
              </w:rPr>
            </w:pPr>
          </w:p>
        </w:tc>
        <w:tc>
          <w:tcPr>
            <w:tcW w:w="1121" w:type="dxa"/>
            <w:gridSpan w:val="3"/>
            <w:vAlign w:val="center"/>
          </w:tcPr>
          <w:p>
            <w:pPr>
              <w:widowControl/>
              <w:snapToGrid w:val="0"/>
              <w:jc w:val="left"/>
              <w:rPr>
                <w:rFonts w:ascii="仿宋" w:hAnsi="仿宋" w:eastAsia="仿宋" w:cs="仿宋"/>
                <w:color w:val="000000"/>
                <w:kern w:val="0"/>
                <w:sz w:val="24"/>
              </w:rPr>
            </w:pPr>
          </w:p>
        </w:tc>
        <w:tc>
          <w:tcPr>
            <w:tcW w:w="1480" w:type="dxa"/>
            <w:vAlign w:val="center"/>
          </w:tcPr>
          <w:p>
            <w:pPr>
              <w:widowControl/>
              <w:snapToGrid w:val="0"/>
              <w:jc w:val="left"/>
              <w:rPr>
                <w:rFonts w:ascii="仿宋" w:hAnsi="仿宋" w:eastAsia="仿宋" w:cs="仿宋"/>
                <w:color w:val="000000"/>
                <w:kern w:val="0"/>
                <w:sz w:val="24"/>
              </w:rPr>
            </w:pPr>
          </w:p>
        </w:tc>
        <w:tc>
          <w:tcPr>
            <w:tcW w:w="1400" w:type="dxa"/>
            <w:gridSpan w:val="2"/>
            <w:vAlign w:val="center"/>
          </w:tcPr>
          <w:p>
            <w:pPr>
              <w:widowControl/>
              <w:snapToGrid w:val="0"/>
              <w:jc w:val="left"/>
              <w:rPr>
                <w:rFonts w:ascii="仿宋" w:hAnsi="仿宋" w:eastAsia="仿宋" w:cs="仿宋"/>
                <w:color w:val="000000"/>
                <w:kern w:val="0"/>
                <w:sz w:val="24"/>
              </w:rPr>
            </w:pPr>
          </w:p>
        </w:tc>
        <w:tc>
          <w:tcPr>
            <w:tcW w:w="1397" w:type="dxa"/>
            <w:vAlign w:val="center"/>
          </w:tcPr>
          <w:p>
            <w:pPr>
              <w:widowControl/>
              <w:snapToGrid w:val="0"/>
              <w:jc w:val="left"/>
              <w:rPr>
                <w:rFonts w:ascii="仿宋" w:hAnsi="仿宋" w:eastAsia="仿宋" w:cs="仿宋"/>
                <w:color w:val="000000"/>
                <w:kern w:val="0"/>
                <w:sz w:val="24"/>
              </w:rPr>
            </w:pPr>
          </w:p>
        </w:tc>
      </w:tr>
    </w:tbl>
    <w:p>
      <w:pPr>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br w:type="page"/>
      </w:r>
    </w:p>
    <w:p>
      <w:pPr>
        <w:pStyle w:val="3"/>
        <w:adjustRightInd w:val="0"/>
        <w:snapToGrid w:val="0"/>
        <w:spacing w:line="240" w:lineRule="auto"/>
        <w:textAlignment w:val="baseline"/>
        <w:rPr>
          <w:rFonts w:ascii="仿宋" w:hAnsi="仿宋" w:eastAsia="仿宋" w:cs="仿宋"/>
          <w:b w:val="0"/>
          <w:bCs w:val="0"/>
          <w:color w:val="000000"/>
          <w:lang w:bidi="ar"/>
        </w:rPr>
      </w:pPr>
      <w:bookmarkStart w:id="2981" w:name="_Toc16514"/>
      <w:bookmarkStart w:id="2982" w:name="_Toc27340"/>
      <w:bookmarkStart w:id="2983" w:name="_Toc1037975919"/>
      <w:bookmarkStart w:id="2984" w:name="_Toc16369"/>
      <w:bookmarkStart w:id="2985" w:name="_Toc3896"/>
      <w:bookmarkStart w:id="2986" w:name="_Toc11463"/>
      <w:bookmarkStart w:id="2987" w:name="_Toc26274"/>
      <w:bookmarkStart w:id="2988" w:name="_Toc4923"/>
      <w:bookmarkStart w:id="2989" w:name="_Toc13397"/>
      <w:r>
        <w:rPr>
          <w:rFonts w:hint="eastAsia" w:ascii="仿宋" w:hAnsi="仿宋" w:eastAsia="仿宋" w:cs="仿宋"/>
          <w:b w:val="0"/>
          <w:bCs w:val="0"/>
          <w:color w:val="000000"/>
          <w:lang w:eastAsia="zh-CN" w:bidi="ar"/>
        </w:rPr>
        <w:t>附件15</w:t>
      </w:r>
      <w:r>
        <w:rPr>
          <w:rFonts w:hint="eastAsia" w:ascii="仿宋" w:hAnsi="仿宋" w:eastAsia="仿宋" w:cs="仿宋"/>
          <w:b w:val="0"/>
          <w:bCs w:val="0"/>
          <w:color w:val="000000"/>
          <w:lang w:bidi="ar"/>
        </w:rPr>
        <w:t>：</w:t>
      </w:r>
      <w:bookmarkEnd w:id="2981"/>
      <w:bookmarkEnd w:id="2982"/>
      <w:bookmarkEnd w:id="2983"/>
      <w:bookmarkEnd w:id="2984"/>
      <w:bookmarkEnd w:id="2985"/>
      <w:bookmarkEnd w:id="2986"/>
      <w:bookmarkEnd w:id="2987"/>
      <w:bookmarkEnd w:id="2988"/>
    </w:p>
    <w:p>
      <w:pPr>
        <w:pStyle w:val="3"/>
        <w:adjustRightInd w:val="0"/>
        <w:snapToGrid w:val="0"/>
        <w:spacing w:line="240" w:lineRule="auto"/>
        <w:jc w:val="center"/>
        <w:textAlignment w:val="baseline"/>
        <w:rPr>
          <w:rFonts w:ascii="黑体" w:hAnsi="黑体" w:eastAsia="黑体" w:cs="黑体"/>
          <w:b w:val="0"/>
          <w:bCs w:val="0"/>
          <w:color w:val="000000"/>
          <w:sz w:val="36"/>
          <w:szCs w:val="36"/>
          <w:lang w:bidi="ar"/>
        </w:rPr>
      </w:pPr>
      <w:bookmarkStart w:id="2990" w:name="_Toc14382"/>
      <w:bookmarkStart w:id="2991" w:name="_Toc28866"/>
      <w:bookmarkStart w:id="2992" w:name="_Toc8321"/>
      <w:bookmarkStart w:id="2993" w:name="_Toc9792"/>
      <w:bookmarkStart w:id="2994" w:name="_Toc29412"/>
      <w:bookmarkStart w:id="2995" w:name="_Toc2898"/>
      <w:bookmarkStart w:id="2996" w:name="_Toc1150286553"/>
      <w:bookmarkStart w:id="2997" w:name="_Toc30448"/>
      <w:r>
        <w:rPr>
          <w:rFonts w:hint="eastAsia" w:ascii="黑体" w:hAnsi="黑体" w:eastAsia="黑体" w:cs="黑体"/>
          <w:b w:val="0"/>
          <w:bCs w:val="0"/>
          <w:color w:val="000000"/>
          <w:sz w:val="36"/>
          <w:szCs w:val="36"/>
          <w:lang w:bidi="ar"/>
        </w:rPr>
        <w:t>线上贴现结算交割单样式</w:t>
      </w:r>
      <w:bookmarkEnd w:id="2989"/>
      <w:bookmarkEnd w:id="2990"/>
      <w:bookmarkEnd w:id="2991"/>
      <w:bookmarkEnd w:id="2992"/>
      <w:bookmarkEnd w:id="2993"/>
      <w:bookmarkEnd w:id="2994"/>
      <w:bookmarkEnd w:id="2995"/>
      <w:bookmarkEnd w:id="2996"/>
      <w:bookmarkEnd w:id="2997"/>
    </w:p>
    <w:p>
      <w:pPr>
        <w:spacing w:line="590" w:lineRule="exact"/>
        <w:rPr>
          <w:rFonts w:ascii="仿宋" w:hAnsi="仿宋" w:eastAsia="仿宋" w:cs="仿宋"/>
          <w:color w:val="000000" w:themeColor="text1"/>
          <w:sz w:val="32"/>
          <w14:textFill>
            <w14:solidFill>
              <w14:schemeClr w14:val="tx1"/>
            </w14:solidFill>
          </w14:textFill>
        </w:rPr>
      </w:pPr>
    </w:p>
    <w:tbl>
      <w:tblPr>
        <w:tblStyle w:val="18"/>
        <w:tblW w:w="8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184"/>
        <w:gridCol w:w="279"/>
        <w:gridCol w:w="478"/>
        <w:gridCol w:w="1126"/>
        <w:gridCol w:w="1088"/>
        <w:gridCol w:w="7"/>
        <w:gridCol w:w="1430"/>
        <w:gridCol w:w="1010"/>
        <w:gridCol w:w="349"/>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8797" w:type="dxa"/>
            <w:gridSpan w:val="11"/>
            <w:vAlign w:val="center"/>
          </w:tcPr>
          <w:p>
            <w:pPr>
              <w:widowControl/>
              <w:snapToGrid w:val="0"/>
              <w:jc w:val="center"/>
              <w:rPr>
                <w:rFonts w:ascii="仿宋" w:hAnsi="仿宋" w:eastAsia="仿宋" w:cs="仿宋"/>
                <w:color w:val="000000"/>
                <w:kern w:val="0"/>
                <w:sz w:val="24"/>
              </w:rPr>
            </w:pPr>
            <w:r>
              <w:rPr>
                <w:rFonts w:hint="eastAsia" w:ascii="黑体" w:hAnsi="黑体" w:eastAsia="黑体" w:cs="黑体"/>
                <w:color w:val="000000"/>
                <w:sz w:val="36"/>
                <w:szCs w:val="36"/>
                <w:lang w:bidi="ar"/>
              </w:rPr>
              <w:t>线上贴现结算交割单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币种：人民币</w:t>
            </w:r>
          </w:p>
        </w:tc>
        <w:tc>
          <w:tcPr>
            <w:tcW w:w="2699" w:type="dxa"/>
            <w:gridSpan w:val="4"/>
            <w:vAlign w:val="center"/>
          </w:tcPr>
          <w:p>
            <w:pPr>
              <w:widowControl/>
              <w:snapToGrid w:val="0"/>
              <w:jc w:val="left"/>
              <w:rPr>
                <w:rFonts w:ascii="仿宋" w:hAnsi="仿宋" w:eastAsia="仿宋" w:cs="仿宋"/>
                <w:color w:val="000000"/>
                <w:kern w:val="0"/>
                <w:sz w:val="24"/>
              </w:rPr>
            </w:pPr>
          </w:p>
        </w:tc>
        <w:tc>
          <w:tcPr>
            <w:tcW w:w="4146" w:type="dxa"/>
            <w:gridSpan w:val="4"/>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交割单编号：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意向成交时间</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意向成交单编号</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贴现机构名称</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贴现申请人名称</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贴出方服务机构名称</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结算日</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票据（包）金额（元）</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票据（包）张数</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贴现利率（%）</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应付利息（元）</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结算金额（元）</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结算方式</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结算结果</w:t>
            </w:r>
          </w:p>
        </w:tc>
        <w:tc>
          <w:tcPr>
            <w:tcW w:w="2699" w:type="dxa"/>
            <w:gridSpan w:val="4"/>
            <w:vAlign w:val="center"/>
          </w:tcPr>
          <w:p>
            <w:pPr>
              <w:widowControl/>
              <w:snapToGrid w:val="0"/>
              <w:jc w:val="center"/>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8797" w:type="dxa"/>
            <w:gridSpan w:val="11"/>
            <w:vAlign w:val="center"/>
          </w:tcPr>
          <w:p>
            <w:pPr>
              <w:widowControl/>
              <w:snapToGrid w:val="0"/>
              <w:jc w:val="center"/>
              <w:rPr>
                <w:rFonts w:ascii="仿宋" w:hAnsi="仿宋" w:eastAsia="仿宋" w:cs="仿宋"/>
                <w:b/>
                <w:bCs/>
                <w:color w:val="000000"/>
                <w:kern w:val="0"/>
                <w:sz w:val="24"/>
              </w:rPr>
            </w:pPr>
            <w:r>
              <w:rPr>
                <w:rFonts w:hint="eastAsia" w:ascii="仿宋" w:hAnsi="仿宋" w:eastAsia="仿宋" w:cs="仿宋"/>
                <w:b/>
                <w:bCs/>
                <w:color w:val="000000"/>
                <w:kern w:val="0"/>
                <w:sz w:val="24"/>
              </w:rPr>
              <w:t>资金入账账户信息</w:t>
            </w:r>
            <w:r>
              <w:rPr>
                <w:rStyle w:val="25"/>
                <w:rFonts w:hint="eastAsia" w:ascii="仿宋" w:hAnsi="仿宋" w:eastAsia="仿宋" w:cs="仿宋"/>
                <w:b/>
                <w:bCs/>
                <w:color w:val="000000"/>
                <w:kern w:val="0"/>
                <w:sz w:val="24"/>
              </w:rPr>
              <w:footnoteReference w:id="1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开户行名称</w:t>
            </w:r>
          </w:p>
        </w:tc>
        <w:tc>
          <w:tcPr>
            <w:tcW w:w="2699" w:type="dxa"/>
            <w:gridSpan w:val="4"/>
            <w:vAlign w:val="center"/>
          </w:tcPr>
          <w:p>
            <w:pPr>
              <w:widowControl/>
              <w:snapToGrid w:val="0"/>
              <w:jc w:val="left"/>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开户行行号</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952" w:type="dxa"/>
            <w:gridSpan w:val="3"/>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账户名称</w:t>
            </w:r>
          </w:p>
        </w:tc>
        <w:tc>
          <w:tcPr>
            <w:tcW w:w="2699" w:type="dxa"/>
            <w:gridSpan w:val="4"/>
            <w:vAlign w:val="center"/>
          </w:tcPr>
          <w:p>
            <w:pPr>
              <w:widowControl/>
              <w:snapToGrid w:val="0"/>
              <w:jc w:val="left"/>
              <w:rPr>
                <w:rFonts w:ascii="仿宋" w:hAnsi="仿宋" w:eastAsia="仿宋" w:cs="仿宋"/>
                <w:color w:val="000000"/>
                <w:kern w:val="0"/>
                <w:sz w:val="24"/>
              </w:rPr>
            </w:pPr>
          </w:p>
        </w:tc>
        <w:tc>
          <w:tcPr>
            <w:tcW w:w="2440" w:type="dxa"/>
            <w:gridSpan w:val="2"/>
            <w:vAlign w:val="center"/>
          </w:tcPr>
          <w:p>
            <w:pPr>
              <w:widowControl/>
              <w:snapToGrid w:val="0"/>
              <w:jc w:val="left"/>
              <w:rPr>
                <w:rFonts w:ascii="仿宋" w:hAnsi="仿宋" w:eastAsia="仿宋" w:cs="仿宋"/>
                <w:color w:val="000000"/>
                <w:kern w:val="0"/>
                <w:sz w:val="24"/>
              </w:rPr>
            </w:pPr>
            <w:r>
              <w:rPr>
                <w:rFonts w:hint="eastAsia" w:ascii="仿宋" w:hAnsi="仿宋" w:eastAsia="仿宋" w:cs="仿宋"/>
                <w:color w:val="000000"/>
                <w:kern w:val="0"/>
                <w:sz w:val="24"/>
              </w:rPr>
              <w:t>账号</w:t>
            </w:r>
          </w:p>
        </w:tc>
        <w:tc>
          <w:tcPr>
            <w:tcW w:w="1706" w:type="dxa"/>
            <w:gridSpan w:val="2"/>
            <w:vAlign w:val="center"/>
          </w:tcPr>
          <w:p>
            <w:pPr>
              <w:widowControl/>
              <w:snapToGrid w:val="0"/>
              <w:jc w:val="cente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8797" w:type="dxa"/>
            <w:gridSpan w:val="11"/>
            <w:vAlign w:val="center"/>
          </w:tcPr>
          <w:p>
            <w:pPr>
              <w:widowControl/>
              <w:snapToGrid w:val="0"/>
              <w:jc w:val="center"/>
              <w:rPr>
                <w:rFonts w:ascii="仿宋" w:hAnsi="仿宋" w:eastAsia="仿宋" w:cs="仿宋"/>
                <w:color w:val="000000"/>
                <w:kern w:val="0"/>
                <w:sz w:val="24"/>
              </w:rPr>
            </w:pPr>
            <w:r>
              <w:rPr>
                <w:rFonts w:hint="eastAsia" w:ascii="仿宋" w:hAnsi="仿宋" w:eastAsia="仿宋" w:cs="仿宋"/>
                <w:b/>
                <w:bCs/>
                <w:color w:val="000000"/>
                <w:kern w:val="0"/>
                <w:sz w:val="24"/>
              </w:rPr>
              <w:t>票据清单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489" w:type="dxa"/>
            <w:vAlign w:val="center"/>
          </w:tcPr>
          <w:p>
            <w:pPr>
              <w:widowControl/>
              <w:snapToGrid w:val="0"/>
              <w:jc w:val="left"/>
              <w:rPr>
                <w:rFonts w:ascii="仿宋" w:hAnsi="仿宋" w:eastAsia="仿宋" w:cs="仿宋"/>
                <w:b/>
                <w:bCs/>
                <w:color w:val="000000"/>
                <w:kern w:val="0"/>
                <w:sz w:val="24"/>
              </w:rPr>
            </w:pPr>
            <w:r>
              <w:rPr>
                <w:rFonts w:hint="eastAsia" w:ascii="仿宋" w:hAnsi="仿宋" w:eastAsia="仿宋" w:cs="仿宋"/>
                <w:color w:val="000000"/>
                <w:kern w:val="0"/>
                <w:sz w:val="24"/>
              </w:rPr>
              <w:t>序号</w:t>
            </w:r>
          </w:p>
        </w:tc>
        <w:tc>
          <w:tcPr>
            <w:tcW w:w="1184" w:type="dxa"/>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票据（包）号</w:t>
            </w:r>
          </w:p>
        </w:tc>
        <w:tc>
          <w:tcPr>
            <w:tcW w:w="757" w:type="dxa"/>
            <w:gridSpan w:val="2"/>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子票区间</w:t>
            </w:r>
          </w:p>
        </w:tc>
        <w:tc>
          <w:tcPr>
            <w:tcW w:w="1126" w:type="dxa"/>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票据（包）金额（元）</w:t>
            </w:r>
          </w:p>
        </w:tc>
        <w:tc>
          <w:tcPr>
            <w:tcW w:w="1088" w:type="dxa"/>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票据到期日</w:t>
            </w:r>
          </w:p>
        </w:tc>
        <w:tc>
          <w:tcPr>
            <w:tcW w:w="1437" w:type="dxa"/>
            <w:gridSpan w:val="2"/>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承兑人名称</w:t>
            </w:r>
          </w:p>
        </w:tc>
        <w:tc>
          <w:tcPr>
            <w:tcW w:w="1359" w:type="dxa"/>
            <w:gridSpan w:val="2"/>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应付利息（元）</w:t>
            </w:r>
          </w:p>
        </w:tc>
        <w:tc>
          <w:tcPr>
            <w:tcW w:w="1357" w:type="dxa"/>
            <w:vAlign w:val="center"/>
          </w:tcPr>
          <w:p>
            <w:pPr>
              <w:widowControl/>
              <w:snapToGrid w:val="0"/>
              <w:jc w:val="left"/>
              <w:rPr>
                <w:rFonts w:ascii="仿宋" w:hAnsi="仿宋" w:eastAsia="仿宋" w:cs="仿宋"/>
                <w:sz w:val="24"/>
              </w:rPr>
            </w:pPr>
            <w:r>
              <w:rPr>
                <w:rFonts w:hint="eastAsia" w:ascii="仿宋" w:hAnsi="仿宋" w:eastAsia="仿宋" w:cs="仿宋"/>
                <w:color w:val="000000"/>
                <w:kern w:val="0"/>
                <w:sz w:val="24"/>
              </w:rPr>
              <w:t>结算金额（元）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489" w:type="dxa"/>
            <w:vAlign w:val="center"/>
          </w:tcPr>
          <w:p>
            <w:pPr>
              <w:widowControl/>
              <w:snapToGrid w:val="0"/>
              <w:jc w:val="left"/>
              <w:rPr>
                <w:rFonts w:ascii="仿宋" w:hAnsi="仿宋" w:eastAsia="仿宋" w:cs="仿宋"/>
                <w:color w:val="000000"/>
                <w:kern w:val="0"/>
                <w:sz w:val="24"/>
              </w:rPr>
            </w:pPr>
          </w:p>
        </w:tc>
        <w:tc>
          <w:tcPr>
            <w:tcW w:w="1184" w:type="dxa"/>
            <w:vAlign w:val="center"/>
          </w:tcPr>
          <w:p>
            <w:pPr>
              <w:widowControl/>
              <w:snapToGrid w:val="0"/>
              <w:jc w:val="left"/>
              <w:rPr>
                <w:rFonts w:ascii="仿宋" w:hAnsi="仿宋" w:eastAsia="仿宋" w:cs="仿宋"/>
                <w:color w:val="000000"/>
                <w:kern w:val="0"/>
                <w:sz w:val="24"/>
              </w:rPr>
            </w:pPr>
          </w:p>
        </w:tc>
        <w:tc>
          <w:tcPr>
            <w:tcW w:w="757" w:type="dxa"/>
            <w:gridSpan w:val="2"/>
            <w:vAlign w:val="center"/>
          </w:tcPr>
          <w:p>
            <w:pPr>
              <w:widowControl/>
              <w:snapToGrid w:val="0"/>
              <w:jc w:val="left"/>
              <w:rPr>
                <w:rFonts w:ascii="仿宋" w:hAnsi="仿宋" w:eastAsia="仿宋" w:cs="仿宋"/>
                <w:color w:val="000000"/>
                <w:kern w:val="0"/>
                <w:sz w:val="24"/>
              </w:rPr>
            </w:pPr>
          </w:p>
        </w:tc>
        <w:tc>
          <w:tcPr>
            <w:tcW w:w="1126" w:type="dxa"/>
            <w:vAlign w:val="center"/>
          </w:tcPr>
          <w:p>
            <w:pPr>
              <w:widowControl/>
              <w:snapToGrid w:val="0"/>
              <w:jc w:val="left"/>
              <w:rPr>
                <w:rFonts w:ascii="仿宋" w:hAnsi="仿宋" w:eastAsia="仿宋" w:cs="仿宋"/>
                <w:color w:val="000000"/>
                <w:kern w:val="0"/>
                <w:sz w:val="24"/>
              </w:rPr>
            </w:pPr>
          </w:p>
        </w:tc>
        <w:tc>
          <w:tcPr>
            <w:tcW w:w="1088" w:type="dxa"/>
            <w:vAlign w:val="center"/>
          </w:tcPr>
          <w:p>
            <w:pPr>
              <w:widowControl/>
              <w:snapToGrid w:val="0"/>
              <w:jc w:val="left"/>
              <w:rPr>
                <w:rFonts w:ascii="仿宋" w:hAnsi="仿宋" w:eastAsia="仿宋" w:cs="仿宋"/>
                <w:color w:val="000000"/>
                <w:kern w:val="0"/>
                <w:sz w:val="24"/>
              </w:rPr>
            </w:pPr>
          </w:p>
        </w:tc>
        <w:tc>
          <w:tcPr>
            <w:tcW w:w="1437" w:type="dxa"/>
            <w:gridSpan w:val="2"/>
            <w:vAlign w:val="center"/>
          </w:tcPr>
          <w:p>
            <w:pPr>
              <w:widowControl/>
              <w:snapToGrid w:val="0"/>
              <w:jc w:val="left"/>
              <w:rPr>
                <w:rFonts w:ascii="仿宋" w:hAnsi="仿宋" w:eastAsia="仿宋" w:cs="仿宋"/>
                <w:color w:val="000000"/>
                <w:kern w:val="0"/>
                <w:sz w:val="24"/>
              </w:rPr>
            </w:pPr>
          </w:p>
        </w:tc>
        <w:tc>
          <w:tcPr>
            <w:tcW w:w="1359" w:type="dxa"/>
            <w:gridSpan w:val="2"/>
            <w:vAlign w:val="center"/>
          </w:tcPr>
          <w:p>
            <w:pPr>
              <w:widowControl/>
              <w:snapToGrid w:val="0"/>
              <w:jc w:val="left"/>
              <w:rPr>
                <w:rFonts w:ascii="仿宋" w:hAnsi="仿宋" w:eastAsia="仿宋" w:cs="仿宋"/>
                <w:color w:val="000000"/>
                <w:kern w:val="0"/>
                <w:sz w:val="24"/>
              </w:rPr>
            </w:pPr>
          </w:p>
        </w:tc>
        <w:tc>
          <w:tcPr>
            <w:tcW w:w="1357" w:type="dxa"/>
            <w:vAlign w:val="center"/>
          </w:tcPr>
          <w:p>
            <w:pPr>
              <w:widowControl/>
              <w:snapToGrid w:val="0"/>
              <w:jc w:val="left"/>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489" w:type="dxa"/>
            <w:vAlign w:val="center"/>
          </w:tcPr>
          <w:p>
            <w:pPr>
              <w:widowControl/>
              <w:snapToGrid w:val="0"/>
              <w:jc w:val="left"/>
              <w:rPr>
                <w:rFonts w:ascii="仿宋" w:hAnsi="仿宋" w:eastAsia="仿宋" w:cs="仿宋"/>
                <w:color w:val="000000"/>
                <w:kern w:val="0"/>
                <w:sz w:val="24"/>
              </w:rPr>
            </w:pPr>
          </w:p>
        </w:tc>
        <w:tc>
          <w:tcPr>
            <w:tcW w:w="1184" w:type="dxa"/>
            <w:vAlign w:val="center"/>
          </w:tcPr>
          <w:p>
            <w:pPr>
              <w:widowControl/>
              <w:snapToGrid w:val="0"/>
              <w:jc w:val="left"/>
              <w:rPr>
                <w:rFonts w:ascii="仿宋" w:hAnsi="仿宋" w:eastAsia="仿宋" w:cs="仿宋"/>
                <w:color w:val="000000"/>
                <w:kern w:val="0"/>
                <w:sz w:val="24"/>
              </w:rPr>
            </w:pPr>
          </w:p>
        </w:tc>
        <w:tc>
          <w:tcPr>
            <w:tcW w:w="757" w:type="dxa"/>
            <w:gridSpan w:val="2"/>
            <w:vAlign w:val="center"/>
          </w:tcPr>
          <w:p>
            <w:pPr>
              <w:widowControl/>
              <w:snapToGrid w:val="0"/>
              <w:jc w:val="left"/>
              <w:rPr>
                <w:rFonts w:ascii="仿宋" w:hAnsi="仿宋" w:eastAsia="仿宋" w:cs="仿宋"/>
                <w:color w:val="000000"/>
                <w:kern w:val="0"/>
                <w:sz w:val="24"/>
              </w:rPr>
            </w:pPr>
          </w:p>
        </w:tc>
        <w:tc>
          <w:tcPr>
            <w:tcW w:w="1126" w:type="dxa"/>
            <w:vAlign w:val="center"/>
          </w:tcPr>
          <w:p>
            <w:pPr>
              <w:widowControl/>
              <w:snapToGrid w:val="0"/>
              <w:jc w:val="left"/>
              <w:rPr>
                <w:rFonts w:ascii="仿宋" w:hAnsi="仿宋" w:eastAsia="仿宋" w:cs="仿宋"/>
                <w:color w:val="000000"/>
                <w:kern w:val="0"/>
                <w:sz w:val="24"/>
              </w:rPr>
            </w:pPr>
          </w:p>
        </w:tc>
        <w:tc>
          <w:tcPr>
            <w:tcW w:w="1088" w:type="dxa"/>
            <w:vAlign w:val="center"/>
          </w:tcPr>
          <w:p>
            <w:pPr>
              <w:widowControl/>
              <w:snapToGrid w:val="0"/>
              <w:jc w:val="left"/>
              <w:rPr>
                <w:rFonts w:ascii="仿宋" w:hAnsi="仿宋" w:eastAsia="仿宋" w:cs="仿宋"/>
                <w:color w:val="000000"/>
                <w:kern w:val="0"/>
                <w:sz w:val="24"/>
              </w:rPr>
            </w:pPr>
          </w:p>
        </w:tc>
        <w:tc>
          <w:tcPr>
            <w:tcW w:w="1437" w:type="dxa"/>
            <w:gridSpan w:val="2"/>
            <w:vAlign w:val="center"/>
          </w:tcPr>
          <w:p>
            <w:pPr>
              <w:widowControl/>
              <w:snapToGrid w:val="0"/>
              <w:jc w:val="left"/>
              <w:rPr>
                <w:rFonts w:ascii="仿宋" w:hAnsi="仿宋" w:eastAsia="仿宋" w:cs="仿宋"/>
                <w:color w:val="000000"/>
                <w:kern w:val="0"/>
                <w:sz w:val="24"/>
              </w:rPr>
            </w:pPr>
          </w:p>
        </w:tc>
        <w:tc>
          <w:tcPr>
            <w:tcW w:w="1359" w:type="dxa"/>
            <w:gridSpan w:val="2"/>
            <w:vAlign w:val="center"/>
          </w:tcPr>
          <w:p>
            <w:pPr>
              <w:widowControl/>
              <w:snapToGrid w:val="0"/>
              <w:jc w:val="left"/>
              <w:rPr>
                <w:rFonts w:ascii="仿宋" w:hAnsi="仿宋" w:eastAsia="仿宋" w:cs="仿宋"/>
                <w:color w:val="000000"/>
                <w:kern w:val="0"/>
                <w:sz w:val="24"/>
              </w:rPr>
            </w:pPr>
          </w:p>
        </w:tc>
        <w:tc>
          <w:tcPr>
            <w:tcW w:w="1357" w:type="dxa"/>
            <w:vAlign w:val="center"/>
          </w:tcPr>
          <w:p>
            <w:pPr>
              <w:widowControl/>
              <w:snapToGrid w:val="0"/>
              <w:jc w:val="left"/>
              <w:rPr>
                <w:rFonts w:ascii="仿宋" w:hAnsi="仿宋" w:eastAsia="仿宋" w:cs="仿宋"/>
                <w:color w:val="000000"/>
                <w:kern w:val="0"/>
                <w:sz w:val="24"/>
              </w:rPr>
            </w:pPr>
          </w:p>
        </w:tc>
      </w:tr>
    </w:tbl>
    <w:p>
      <w:pPr>
        <w:ind w:firstLine="3840" w:firstLineChars="1200"/>
        <w:rPr>
          <w:rFonts w:ascii="仿宋" w:hAnsi="仿宋" w:eastAsia="仿宋" w:cs="仿宋"/>
          <w:sz w:val="32"/>
          <w:szCs w:val="32"/>
          <w:lang w:bidi="ar"/>
        </w:rPr>
      </w:pPr>
    </w:p>
    <w:p>
      <w:pPr>
        <w:rPr>
          <w:rFonts w:ascii="Times New Roman" w:hAnsi="Times New Roman"/>
          <w:b/>
          <w:sz w:val="32"/>
        </w:rPr>
      </w:pPr>
      <w:r>
        <w:rPr>
          <w:rFonts w:ascii="Times New Roman" w:hAnsi="Times New Roman"/>
          <w:b/>
          <w:sz w:val="32"/>
        </w:rPr>
        <w:br w:type="page"/>
      </w:r>
      <w:bookmarkEnd w:id="2941"/>
      <w:bookmarkEnd w:id="2942"/>
    </w:p>
    <w:p>
      <w:pPr>
        <w:pStyle w:val="3"/>
        <w:widowControl/>
        <w:adjustRightInd w:val="0"/>
        <w:snapToGrid w:val="0"/>
        <w:spacing w:line="240" w:lineRule="auto"/>
        <w:textAlignment w:val="baseline"/>
        <w:rPr>
          <w:rFonts w:ascii="仿宋" w:hAnsi="仿宋" w:eastAsia="仿宋" w:cs="仿宋"/>
          <w:b w:val="0"/>
          <w:bCs w:val="0"/>
          <w:color w:val="000000"/>
          <w:lang w:bidi="ar"/>
        </w:rPr>
      </w:pPr>
      <w:bookmarkStart w:id="2998" w:name="_Toc8758"/>
      <w:bookmarkStart w:id="2999" w:name="_Toc30088"/>
      <w:bookmarkStart w:id="3000" w:name="_Toc26040"/>
      <w:bookmarkStart w:id="3001" w:name="_Toc29174"/>
      <w:bookmarkStart w:id="3002" w:name="_Toc403"/>
      <w:bookmarkStart w:id="3003" w:name="_Toc11367"/>
      <w:bookmarkStart w:id="3004" w:name="_Toc19491"/>
      <w:bookmarkStart w:id="3005" w:name="_Toc1104"/>
      <w:bookmarkStart w:id="3006" w:name="_Toc17003"/>
      <w:bookmarkStart w:id="3007" w:name="_Toc12699"/>
      <w:bookmarkStart w:id="3008" w:name="_Toc27747"/>
      <w:bookmarkStart w:id="3009" w:name="_Toc19170"/>
      <w:bookmarkStart w:id="3010" w:name="_Toc1915456775"/>
      <w:r>
        <w:rPr>
          <w:rFonts w:hint="eastAsia" w:ascii="仿宋" w:hAnsi="仿宋" w:eastAsia="仿宋" w:cs="仿宋"/>
          <w:b w:val="0"/>
          <w:bCs w:val="0"/>
          <w:color w:val="000000"/>
          <w:lang w:eastAsia="zh-CN" w:bidi="ar"/>
        </w:rPr>
        <w:t>附件16</w:t>
      </w:r>
      <w:r>
        <w:rPr>
          <w:rFonts w:hint="eastAsia" w:ascii="仿宋" w:hAnsi="仿宋" w:eastAsia="仿宋" w:cs="仿宋"/>
          <w:b w:val="0"/>
          <w:bCs w:val="0"/>
          <w:color w:val="000000"/>
          <w:lang w:bidi="ar"/>
        </w:rPr>
        <w:t>：</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pPr>
        <w:spacing w:line="560" w:lineRule="exact"/>
        <w:jc w:val="center"/>
        <w:rPr>
          <w:rFonts w:ascii="黑体" w:hAnsi="黑体" w:eastAsia="黑体" w:cs="黑体"/>
          <w:sz w:val="36"/>
          <w:szCs w:val="36"/>
        </w:rPr>
      </w:pPr>
      <w:r>
        <w:rPr>
          <w:rFonts w:hint="eastAsia" w:ascii="黑体" w:hAnsi="黑体" w:eastAsia="黑体" w:cs="黑体"/>
          <w:sz w:val="36"/>
          <w:szCs w:val="36"/>
        </w:rPr>
        <w:t>交易要素及相关解释说明</w:t>
      </w:r>
    </w:p>
    <w:p>
      <w:pPr>
        <w:spacing w:line="560" w:lineRule="exact"/>
        <w:jc w:val="center"/>
        <w:rPr>
          <w:rFonts w:ascii="仿宋_GB2312" w:hAnsi="仿宋_GB2312" w:eastAsia="仿宋_GB2312" w:cs="仿宋_GB2312"/>
          <w:sz w:val="30"/>
          <w:szCs w:val="30"/>
        </w:rPr>
      </w:pPr>
    </w:p>
    <w:tbl>
      <w:tblPr>
        <w:tblStyle w:val="18"/>
        <w:tblW w:w="9450" w:type="dxa"/>
        <w:jc w:val="center"/>
        <w:tblInd w:w="0" w:type="dxa"/>
        <w:tblLayout w:type="fixed"/>
        <w:tblCellMar>
          <w:top w:w="0" w:type="dxa"/>
          <w:left w:w="108" w:type="dxa"/>
          <w:bottom w:w="0" w:type="dxa"/>
          <w:right w:w="108" w:type="dxa"/>
        </w:tblCellMar>
      </w:tblPr>
      <w:tblGrid>
        <w:gridCol w:w="1416"/>
        <w:gridCol w:w="2616"/>
        <w:gridCol w:w="5418"/>
      </w:tblGrid>
      <w:tr>
        <w:tblPrEx>
          <w:tblLayout w:type="fixed"/>
          <w:tblCellMar>
            <w:top w:w="0" w:type="dxa"/>
            <w:left w:w="108" w:type="dxa"/>
            <w:bottom w:w="0" w:type="dxa"/>
            <w:right w:w="108" w:type="dxa"/>
          </w:tblCellMar>
        </w:tblPrEx>
        <w:trPr>
          <w:trHeight w:val="270" w:hRule="atLeast"/>
          <w:jc w:val="center"/>
        </w:trPr>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要素类型</w:t>
            </w: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要素名称</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kern w:val="0"/>
                <w:sz w:val="24"/>
                <w:lang w:bidi="ar"/>
              </w:rPr>
              <w:t>相关说明</w:t>
            </w:r>
          </w:p>
        </w:tc>
      </w:tr>
      <w:tr>
        <w:tblPrEx>
          <w:tblLayout w:type="fixed"/>
          <w:tblCellMar>
            <w:top w:w="0" w:type="dxa"/>
            <w:left w:w="108" w:type="dxa"/>
            <w:bottom w:w="0" w:type="dxa"/>
            <w:right w:w="108" w:type="dxa"/>
          </w:tblCellMar>
        </w:tblPrEx>
        <w:trPr>
          <w:trHeight w:val="27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通用要素</w:t>
            </w: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交易方向</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包括卖出、买入、正回购或逆回购。</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票据类别</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包括银票（或财票）、商票。</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票据介质</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包括纸票或电票。</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票面总额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指该笔交易中全部票据票面金额总和。</w:t>
            </w:r>
          </w:p>
        </w:tc>
      </w:tr>
      <w:tr>
        <w:tblPrEx>
          <w:tblLayout w:type="fixed"/>
          <w:tblCellMar>
            <w:top w:w="0" w:type="dxa"/>
            <w:left w:w="108" w:type="dxa"/>
            <w:bottom w:w="0" w:type="dxa"/>
            <w:right w:w="108" w:type="dxa"/>
          </w:tblCellMar>
        </w:tblPrEx>
        <w:trPr>
          <w:trHeight w:val="343"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部分成交选项</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指买入方或逆回购方是否可以删减报价项下标的票据。</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报价有效时间</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指交易双方约定的最晚应答报价的时间，超过时间未应答的报价自动终止。</w:t>
            </w:r>
          </w:p>
        </w:tc>
      </w:tr>
      <w:tr>
        <w:tblPrEx>
          <w:tblLayout w:type="fixed"/>
          <w:tblCellMar>
            <w:top w:w="0" w:type="dxa"/>
            <w:left w:w="108" w:type="dxa"/>
            <w:bottom w:w="0" w:type="dxa"/>
            <w:right w:w="108" w:type="dxa"/>
          </w:tblCellMar>
        </w:tblPrEx>
        <w:trPr>
          <w:trHeight w:val="81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最晚（首期）结算时间</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指达成交易后交易双方约定的最晚完成清算结算时间，超过时间未能完成清算结算的交易清算失败，导致清算失败的一方判定违约。</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票据张（包）数</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指该笔交易中票据或票据包数量。</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清算速度</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包括T+0或T+1。T+0是指成交日当日清算，T+1是指成交日的下一营业日清算。</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结算方式</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交易双方采用的资金收付和票据权属变更的方式，包括票款对付（DVP）或纯票过户（FOP）。票款对付指结算双方同步办理票据过户和资金支付并互为条件的结算方式；纯票过户指结算双方的票据过户与资金支付相互独立的结算方式。</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清算类型</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全额清算。</w:t>
            </w:r>
          </w:p>
        </w:tc>
      </w:tr>
      <w:tr>
        <w:tblPrEx>
          <w:tblLayout w:type="fixed"/>
          <w:tblCellMar>
            <w:top w:w="0" w:type="dxa"/>
            <w:left w:w="108" w:type="dxa"/>
            <w:bottom w:w="0" w:type="dxa"/>
            <w:right w:w="108" w:type="dxa"/>
          </w:tblCellMar>
        </w:tblPrEx>
        <w:trPr>
          <w:trHeight w:val="27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转贴现</w:t>
            </w: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交易利率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由交易双方确定。</w:t>
            </w:r>
          </w:p>
        </w:tc>
      </w:tr>
      <w:tr>
        <w:tblPrEx>
          <w:tblLayout w:type="fixed"/>
          <w:tblCellMar>
            <w:top w:w="0" w:type="dxa"/>
            <w:left w:w="108" w:type="dxa"/>
            <w:bottom w:w="0" w:type="dxa"/>
            <w:right w:w="108" w:type="dxa"/>
          </w:tblCellMar>
        </w:tblPrEx>
        <w:trPr>
          <w:trHeight w:val="369"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加权平均剩余期限</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加权平均剩余期限=Σ（票据金额×剩余期限）/票面总额。</w:t>
            </w:r>
          </w:p>
        </w:tc>
      </w:tr>
      <w:tr>
        <w:tblPrEx>
          <w:tblLayout w:type="fixed"/>
          <w:tblCellMar>
            <w:top w:w="0" w:type="dxa"/>
            <w:left w:w="108" w:type="dxa"/>
            <w:bottom w:w="0" w:type="dxa"/>
            <w:right w:w="108" w:type="dxa"/>
          </w:tblCellMar>
        </w:tblPrEx>
        <w:trPr>
          <w:trHeight w:val="323"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应付利息</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应付利息=Σ（票据金额×交易利率×剩余期限/360）。</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结算金额=票面总额-应付利息。</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收益率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收益率=（票面总额/结算金额-1）×360/加权平均剩余期限。</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结算日</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结算日=成交日+清算速度。</w:t>
            </w:r>
          </w:p>
        </w:tc>
      </w:tr>
      <w:tr>
        <w:tblPrEx>
          <w:tblLayout w:type="fixed"/>
          <w:tblCellMar>
            <w:top w:w="0" w:type="dxa"/>
            <w:left w:w="108" w:type="dxa"/>
            <w:bottom w:w="0" w:type="dxa"/>
            <w:right w:w="108" w:type="dxa"/>
          </w:tblCellMar>
        </w:tblPrEx>
        <w:trPr>
          <w:trHeight w:val="27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质押式回购</w:t>
            </w: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回购利率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由交易双方确定。</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指正回购方在回购到期时实际返还的金额。</w:t>
            </w:r>
          </w:p>
        </w:tc>
      </w:tr>
      <w:tr>
        <w:tblPrEx>
          <w:tblLayout w:type="fixed"/>
          <w:tblCellMar>
            <w:top w:w="0" w:type="dxa"/>
            <w:left w:w="108" w:type="dxa"/>
            <w:bottom w:w="0" w:type="dxa"/>
            <w:right w:w="108" w:type="dxa"/>
          </w:tblCellMar>
        </w:tblPrEx>
        <w:trPr>
          <w:trHeight w:val="81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回购期限</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由交易双方确定，最短回购期限为1天，最长为Min[“质押票据最短剩余期限-1”或“买断式回购待返售票据包的买断式回购剩余期限-1”，365天]。</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应付利息</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应付利息=回购金额×回购期限×回购利率／360。</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首期结算金额=回购金额－应付利息。</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到期结算金额=回购金额。</w:t>
            </w:r>
          </w:p>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因回购到期结算日变更而产生的到期应付利息变动，由系统自动计算并且据此调整到期结算金额。</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回购收益率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回购收益率=（到期结算金额/首期结算金额-1）×360/回购期限。</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首期结算日</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首期结算日=成交日+清算速度。</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到期结算日</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到期结算日=首期结算日+回购期限。到期结算日应不为法定休假日。</w:t>
            </w:r>
          </w:p>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适用经调整的下一营业日准则：即如遇法定休假日，到期结算日变更为下一营业日；如下一营业日跨月，则到期结算日变更为上一营业日，但上一营业日已经过的，则到期结算日变更为下一营业日。</w:t>
            </w:r>
          </w:p>
        </w:tc>
      </w:tr>
      <w:tr>
        <w:tblPrEx>
          <w:tblLayout w:type="fixed"/>
          <w:tblCellMar>
            <w:top w:w="0" w:type="dxa"/>
            <w:left w:w="108" w:type="dxa"/>
            <w:bottom w:w="0" w:type="dxa"/>
            <w:right w:w="108" w:type="dxa"/>
          </w:tblCellMar>
        </w:tblPrEx>
        <w:trPr>
          <w:trHeight w:val="27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买断式回购</w:t>
            </w: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首期交易利率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首期交易的交易利率。</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到期交易利率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到期交易的交易利率。</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回购期限</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由交易双方确定，最短回购期限为1天，最长为Min[“标的票据最短剩余期限-1”，365天]。</w:t>
            </w:r>
          </w:p>
        </w:tc>
      </w:tr>
      <w:tr>
        <w:tblPrEx>
          <w:tblLayout w:type="fixed"/>
          <w:tblCellMar>
            <w:top w:w="0" w:type="dxa"/>
            <w:left w:w="108" w:type="dxa"/>
            <w:bottom w:w="0" w:type="dxa"/>
            <w:right w:w="108" w:type="dxa"/>
          </w:tblCellMar>
        </w:tblPrEx>
        <w:trPr>
          <w:trHeight w:val="81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首期应付利息</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首期应付利息=∑（票面总额×首期交易利率×首期剩余期限／360），首期剩余期限=票据到期日期-首期结算日。</w:t>
            </w:r>
          </w:p>
        </w:tc>
      </w:tr>
      <w:tr>
        <w:tblPrEx>
          <w:tblLayout w:type="fixed"/>
          <w:tblCellMar>
            <w:top w:w="0" w:type="dxa"/>
            <w:left w:w="108" w:type="dxa"/>
            <w:bottom w:w="0" w:type="dxa"/>
            <w:right w:w="108" w:type="dxa"/>
          </w:tblCellMar>
        </w:tblPrEx>
        <w:trPr>
          <w:trHeight w:val="81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到期应付利息</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到期应付利息=∑（票面总额×到期交易利率×到期剩余期限／360），到期剩余期限=票据到期日期-到期结算日。</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首期结算金额=票面总额－首期应付利息。</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到期结算金额</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到期结算金额=票面总额－到期应付利息。</w:t>
            </w:r>
          </w:p>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因回购到期结算日变更而产生的到期应付利息变动，由系统自动计算并且据此调整到期结算金额。</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回购收益率</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回购收益率=（到期结算金额/首期结算金额-1）×360/回购期限。</w:t>
            </w:r>
          </w:p>
        </w:tc>
      </w:tr>
      <w:tr>
        <w:tblPrEx>
          <w:tblLayout w:type="fixed"/>
          <w:tblCellMar>
            <w:top w:w="0" w:type="dxa"/>
            <w:left w:w="108" w:type="dxa"/>
            <w:bottom w:w="0" w:type="dxa"/>
            <w:right w:w="108" w:type="dxa"/>
          </w:tblCellMar>
        </w:tblPrEx>
        <w:trPr>
          <w:trHeight w:val="27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首期结算日</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首期结算日=成交日+清算速度。</w:t>
            </w:r>
          </w:p>
        </w:tc>
      </w:tr>
      <w:tr>
        <w:tblPrEx>
          <w:tblLayout w:type="fixed"/>
          <w:tblCellMar>
            <w:top w:w="0" w:type="dxa"/>
            <w:left w:w="108" w:type="dxa"/>
            <w:bottom w:w="0" w:type="dxa"/>
            <w:right w:w="108" w:type="dxa"/>
          </w:tblCellMar>
        </w:tblPrEx>
        <w:trPr>
          <w:trHeight w:val="54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到期结算日</w:t>
            </w:r>
          </w:p>
        </w:tc>
        <w:tc>
          <w:tcPr>
            <w:tcW w:w="5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到期结算日=首期结算日+回购期限。到期结算日应不为法定休假日。</w:t>
            </w:r>
          </w:p>
          <w:p>
            <w:pPr>
              <w:widowControl/>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适用经调整的下一营业日准则：如遇法定休假日，即到期结算日变更为下一营业日；如下一营业日跨月，则到期结算日变更为上一营业日，但上一营业日已经过的，则到期结算日变更为下一营业日。</w:t>
            </w:r>
          </w:p>
        </w:tc>
      </w:tr>
    </w:tbl>
    <w:p>
      <w:pPr>
        <w:rPr>
          <w:rFonts w:ascii="Times New Roman" w:hAnsi="Times New Roman"/>
          <w:b/>
          <w:sz w:val="32"/>
        </w:rPr>
      </w:pPr>
      <w:r>
        <w:rPr>
          <w:rFonts w:hint="eastAsia" w:ascii="Times New Roman" w:hAnsi="Times New Roman"/>
          <w:b/>
          <w:sz w:val="32"/>
        </w:rPr>
        <w:br w:type="page"/>
      </w:r>
    </w:p>
    <w:p>
      <w:pPr>
        <w:pStyle w:val="3"/>
        <w:widowControl/>
        <w:adjustRightInd w:val="0"/>
        <w:snapToGrid w:val="0"/>
        <w:spacing w:before="0" w:after="0" w:line="240" w:lineRule="auto"/>
        <w:textAlignment w:val="baseline"/>
        <w:rPr>
          <w:rFonts w:hint="eastAsia" w:ascii="仿宋" w:hAnsi="仿宋" w:eastAsia="仿宋" w:cs="仿宋"/>
          <w:b w:val="0"/>
          <w:bCs w:val="0"/>
          <w:color w:val="000000"/>
          <w:lang w:eastAsia="zh-CN" w:bidi="ar"/>
        </w:rPr>
      </w:pPr>
      <w:bookmarkStart w:id="3011" w:name="_Toc26365"/>
      <w:bookmarkStart w:id="3012" w:name="_Toc24366"/>
      <w:bookmarkStart w:id="3013" w:name="_Toc19780"/>
      <w:bookmarkStart w:id="3014" w:name="_Toc26129"/>
      <w:bookmarkStart w:id="3015" w:name="_Toc11154"/>
      <w:bookmarkStart w:id="3016" w:name="_Toc1603"/>
      <w:bookmarkStart w:id="3017" w:name="_Toc20728"/>
      <w:bookmarkStart w:id="3018" w:name="_Toc9545"/>
      <w:bookmarkStart w:id="3019" w:name="_Toc622"/>
      <w:bookmarkStart w:id="3020" w:name="_Toc21"/>
      <w:bookmarkStart w:id="3021" w:name="_Toc18522"/>
      <w:bookmarkStart w:id="3022" w:name="_Toc28734"/>
      <w:bookmarkStart w:id="3023" w:name="_Toc1504782250"/>
      <w:r>
        <w:rPr>
          <w:rFonts w:hint="eastAsia" w:ascii="仿宋" w:hAnsi="仿宋" w:eastAsia="仿宋" w:cs="仿宋"/>
          <w:b w:val="0"/>
          <w:bCs w:val="0"/>
          <w:color w:val="000000"/>
          <w:lang w:eastAsia="zh-CN" w:bidi="ar"/>
        </w:rPr>
        <w:t>附件17</w:t>
      </w:r>
      <w:r>
        <w:rPr>
          <w:rFonts w:hint="eastAsia" w:ascii="仿宋" w:hAnsi="仿宋" w:eastAsia="仿宋" w:cs="仿宋"/>
          <w:b w:val="0"/>
          <w:bCs w:val="0"/>
          <w:color w:val="000000"/>
          <w:lang w:bidi="ar"/>
        </w:rPr>
        <w:t>：</w:t>
      </w:r>
      <w:bookmarkEnd w:id="3011"/>
      <w:bookmarkEnd w:id="3012"/>
      <w:bookmarkEnd w:id="3013"/>
      <w:bookmarkEnd w:id="3014"/>
      <w:bookmarkEnd w:id="3015"/>
      <w:bookmarkEnd w:id="3016"/>
      <w:bookmarkEnd w:id="3017"/>
      <w:bookmarkEnd w:id="3018"/>
      <w:bookmarkEnd w:id="3019"/>
      <w:bookmarkEnd w:id="3020"/>
      <w:bookmarkEnd w:id="3021"/>
      <w:bookmarkEnd w:id="3022"/>
      <w:r>
        <w:rPr>
          <w:rFonts w:hint="eastAsia" w:ascii="仿宋" w:hAnsi="仿宋" w:eastAsia="仿宋" w:cs="仿宋"/>
          <w:b w:val="0"/>
          <w:bCs w:val="0"/>
          <w:color w:val="000000"/>
          <w:lang w:eastAsia="zh-CN" w:bidi="ar"/>
        </w:rPr>
        <w:t>交易成交单模板</w:t>
      </w:r>
      <w:bookmarkEnd w:id="3023"/>
    </w:p>
    <w:p>
      <w:pPr>
        <w:spacing w:line="560" w:lineRule="exact"/>
        <w:rPr>
          <w:rFonts w:ascii="仿宋_GB2312" w:hAnsi="仿宋_GB2312" w:eastAsia="仿宋_GB2312" w:cs="仿宋_GB2312"/>
          <w:sz w:val="30"/>
          <w:szCs w:val="30"/>
        </w:rPr>
      </w:pPr>
    </w:p>
    <w:tbl>
      <w:tblPr>
        <w:tblStyle w:val="18"/>
        <w:tblW w:w="10890" w:type="dxa"/>
        <w:jc w:val="center"/>
        <w:tblInd w:w="0" w:type="dxa"/>
        <w:tblLayout w:type="fixed"/>
        <w:tblCellMar>
          <w:top w:w="0" w:type="dxa"/>
          <w:left w:w="108" w:type="dxa"/>
          <w:bottom w:w="0" w:type="dxa"/>
          <w:right w:w="108" w:type="dxa"/>
        </w:tblCellMar>
      </w:tblPr>
      <w:tblGrid>
        <w:gridCol w:w="2003"/>
        <w:gridCol w:w="1275"/>
        <w:gridCol w:w="775"/>
        <w:gridCol w:w="1326"/>
        <w:gridCol w:w="1923"/>
        <w:gridCol w:w="1251"/>
        <w:gridCol w:w="780"/>
        <w:gridCol w:w="1321"/>
        <w:gridCol w:w="236"/>
      </w:tblGrid>
      <w:tr>
        <w:tblPrEx>
          <w:tblLayout w:type="fixed"/>
          <w:tblCellMar>
            <w:top w:w="0" w:type="dxa"/>
            <w:left w:w="108" w:type="dxa"/>
            <w:bottom w:w="0" w:type="dxa"/>
            <w:right w:w="108" w:type="dxa"/>
          </w:tblCellMar>
        </w:tblPrEx>
        <w:trPr>
          <w:trHeight w:val="750" w:hRule="atLeast"/>
          <w:jc w:val="center"/>
        </w:trPr>
        <w:tc>
          <w:tcPr>
            <w:tcW w:w="10890" w:type="dxa"/>
            <w:gridSpan w:val="9"/>
            <w:tcBorders>
              <w:top w:val="nil"/>
              <w:left w:val="nil"/>
              <w:bottom w:val="nil"/>
              <w:right w:val="nil"/>
            </w:tcBorders>
            <w:shd w:val="clear" w:color="auto" w:fill="auto"/>
          </w:tcPr>
          <w:p>
            <w:pPr>
              <w:widowControl/>
              <w:jc w:val="center"/>
              <w:textAlignment w:val="top"/>
              <w:rPr>
                <w:rFonts w:ascii="仿宋_GB2312" w:hAnsi="仿宋_GB2312" w:eastAsia="仿宋_GB2312" w:cs="仿宋_GB2312"/>
                <w:color w:val="000000"/>
                <w:sz w:val="24"/>
              </w:rPr>
            </w:pPr>
            <w:r>
              <w:rPr>
                <w:rStyle w:val="42"/>
                <w:rFonts w:hint="default" w:ascii="黑体" w:hAnsi="黑体" w:eastAsia="黑体" w:cs="黑体"/>
                <w:sz w:val="36"/>
                <w:szCs w:val="36"/>
                <w:lang w:bidi="ar"/>
              </w:rPr>
              <w:t>票据转贴现成交单</w:t>
            </w:r>
          </w:p>
        </w:tc>
      </w:tr>
      <w:tr>
        <w:tblPrEx>
          <w:tblLayout w:type="fixed"/>
          <w:tblCellMar>
            <w:top w:w="0" w:type="dxa"/>
            <w:left w:w="108" w:type="dxa"/>
            <w:bottom w:w="0" w:type="dxa"/>
            <w:right w:w="108" w:type="dxa"/>
          </w:tblCellMar>
        </w:tblPrEx>
        <w:trPr>
          <w:trHeight w:val="420" w:hRule="atLeast"/>
          <w:jc w:val="center"/>
        </w:trPr>
        <w:tc>
          <w:tcPr>
            <w:tcW w:w="10890" w:type="dxa"/>
            <w:gridSpan w:val="9"/>
            <w:tcBorders>
              <w:top w:val="nil"/>
              <w:left w:val="nil"/>
              <w:bottom w:val="nil"/>
              <w:right w:val="nil"/>
            </w:tcBorders>
            <w:shd w:val="clear" w:color="auto" w:fill="auto"/>
            <w:vAlign w:val="center"/>
          </w:tcPr>
          <w:p>
            <w:pPr>
              <w:widowControl/>
              <w:ind w:firstLine="1440" w:firstLineChars="600"/>
              <w:jc w:val="right"/>
              <w:textAlignment w:val="top"/>
              <w:rPr>
                <w:rFonts w:ascii="仿宋_GB2312" w:hAnsi="仿宋_GB2312" w:eastAsia="仿宋_GB2312" w:cs="仿宋_GB2312"/>
                <w:color w:val="000000"/>
                <w:sz w:val="24"/>
              </w:rPr>
            </w:pPr>
            <w:r>
              <w:rPr>
                <w:rStyle w:val="35"/>
                <w:rFonts w:hint="default" w:ascii="仿宋_GB2312" w:hAnsi="仿宋_GB2312" w:eastAsia="仿宋_GB2312" w:cs="仿宋_GB2312"/>
                <w:lang w:bidi="ar"/>
              </w:rPr>
              <w:t>上海票据交易所</w:t>
            </w:r>
          </w:p>
        </w:tc>
      </w:tr>
      <w:tr>
        <w:tblPrEx>
          <w:tblLayout w:type="fixed"/>
          <w:tblCellMar>
            <w:top w:w="0" w:type="dxa"/>
            <w:left w:w="108" w:type="dxa"/>
            <w:bottom w:w="0" w:type="dxa"/>
            <w:right w:w="108" w:type="dxa"/>
          </w:tblCellMar>
        </w:tblPrEx>
        <w:trPr>
          <w:trHeight w:val="285" w:hRule="atLeast"/>
          <w:jc w:val="center"/>
        </w:trPr>
        <w:tc>
          <w:tcPr>
            <w:tcW w:w="10890" w:type="dxa"/>
            <w:gridSpan w:val="9"/>
            <w:tcBorders>
              <w:top w:val="nil"/>
              <w:left w:val="nil"/>
              <w:bottom w:val="nil"/>
              <w:right w:val="nil"/>
            </w:tcBorders>
            <w:shd w:val="clear" w:color="auto" w:fill="auto"/>
          </w:tcPr>
          <w:p>
            <w:pPr>
              <w:widowControl/>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成交时间:20XX-XX-XX XX:XX:XX                                 成交单编号:TD20XXXXXX000001</w:t>
            </w:r>
          </w:p>
        </w:tc>
      </w:tr>
      <w:tr>
        <w:tblPrEx>
          <w:tblLayout w:type="fixed"/>
          <w:tblCellMar>
            <w:top w:w="0" w:type="dxa"/>
            <w:left w:w="108" w:type="dxa"/>
            <w:bottom w:w="0" w:type="dxa"/>
            <w:right w:w="108" w:type="dxa"/>
          </w:tblCellMar>
        </w:tblPrEx>
        <w:trPr>
          <w:trHeight w:val="465" w:hRule="atLeast"/>
          <w:jc w:val="center"/>
        </w:trPr>
        <w:tc>
          <w:tcPr>
            <w:tcW w:w="5379" w:type="dxa"/>
            <w:gridSpan w:val="4"/>
            <w:tcBorders>
              <w:top w:val="single" w:color="000000"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买入方信息</w:t>
            </w:r>
          </w:p>
        </w:tc>
        <w:tc>
          <w:tcPr>
            <w:tcW w:w="5275" w:type="dxa"/>
            <w:gridSpan w:val="4"/>
            <w:tcBorders>
              <w:top w:val="single" w:color="000000" w:sz="4" w:space="0"/>
              <w:left w:val="single" w:color="B2B2B2"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卖出方信息</w:t>
            </w: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337" w:hRule="atLeast"/>
          <w:jc w:val="center"/>
        </w:trPr>
        <w:tc>
          <w:tcPr>
            <w:tcW w:w="2003" w:type="dxa"/>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机构</w:t>
            </w:r>
          </w:p>
        </w:tc>
        <w:tc>
          <w:tcPr>
            <w:tcW w:w="3376" w:type="dxa"/>
            <w:gridSpan w:val="3"/>
            <w:tcBorders>
              <w:top w:val="single" w:color="000000"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机构</w:t>
            </w:r>
          </w:p>
        </w:tc>
        <w:tc>
          <w:tcPr>
            <w:tcW w:w="3352"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交易员</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交易员</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交易员ID</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交易员ID</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电话</w:t>
            </w:r>
          </w:p>
        </w:tc>
        <w:tc>
          <w:tcPr>
            <w:tcW w:w="1275"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775"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传真</w:t>
            </w:r>
          </w:p>
        </w:tc>
        <w:tc>
          <w:tcPr>
            <w:tcW w:w="1326"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电话</w:t>
            </w:r>
          </w:p>
        </w:tc>
        <w:tc>
          <w:tcPr>
            <w:tcW w:w="1251"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780"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传真</w:t>
            </w:r>
          </w:p>
        </w:tc>
        <w:tc>
          <w:tcPr>
            <w:tcW w:w="1321" w:type="dxa"/>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374"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法定代表人或负责人</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法定代表人或负责人</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机构地址</w:t>
            </w:r>
          </w:p>
        </w:tc>
        <w:tc>
          <w:tcPr>
            <w:tcW w:w="3376" w:type="dxa"/>
            <w:gridSpan w:val="3"/>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机构地址</w:t>
            </w:r>
          </w:p>
        </w:tc>
        <w:tc>
          <w:tcPr>
            <w:tcW w:w="3352"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600" w:hRule="atLeast"/>
          <w:jc w:val="center"/>
        </w:trPr>
        <w:tc>
          <w:tcPr>
            <w:tcW w:w="1065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3"/>
                <w:rFonts w:hint="default" w:ascii="仿宋_GB2312" w:hAnsi="仿宋_GB2312" w:eastAsia="仿宋_GB2312" w:cs="仿宋_GB2312"/>
                <w:sz w:val="24"/>
                <w:szCs w:val="24"/>
                <w:lang w:bidi="ar"/>
              </w:rPr>
              <w:t>成交信息</w:t>
            </w: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000000"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票面总额（元）</w:t>
            </w:r>
          </w:p>
        </w:tc>
        <w:tc>
          <w:tcPr>
            <w:tcW w:w="3376" w:type="dxa"/>
            <w:gridSpan w:val="3"/>
            <w:tcBorders>
              <w:top w:val="single" w:color="000000"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000000"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票据类别</w:t>
            </w:r>
          </w:p>
        </w:tc>
        <w:tc>
          <w:tcPr>
            <w:tcW w:w="3352"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应付利息（元）</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票据介质</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结算金额（元）</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结算日</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交易利率</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结算方式</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收益率</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清算类型</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加权平均剩余期限</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最晚结算时间</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票据张（包）数</w:t>
            </w:r>
          </w:p>
        </w:tc>
        <w:tc>
          <w:tcPr>
            <w:tcW w:w="3376" w:type="dxa"/>
            <w:gridSpan w:val="3"/>
            <w:tcBorders>
              <w:top w:val="single" w:color="B2B2B2" w:sz="4" w:space="0"/>
              <w:left w:val="single" w:color="B2B2B2" w:sz="4" w:space="0"/>
              <w:bottom w:val="single" w:color="000000"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000000"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3352"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450" w:hRule="atLeast"/>
          <w:jc w:val="center"/>
        </w:trPr>
        <w:tc>
          <w:tcPr>
            <w:tcW w:w="5379" w:type="dxa"/>
            <w:gridSpan w:val="4"/>
            <w:tcBorders>
              <w:top w:val="single" w:color="000000" w:sz="4" w:space="0"/>
              <w:left w:val="single" w:color="000000"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6"/>
                <w:rFonts w:hint="default" w:ascii="仿宋_GB2312" w:hAnsi="仿宋_GB2312" w:eastAsia="仿宋_GB2312" w:cs="仿宋_GB2312"/>
                <w:lang w:bidi="ar"/>
              </w:rPr>
              <w:t>买入方账户信息</w:t>
            </w:r>
          </w:p>
        </w:tc>
        <w:tc>
          <w:tcPr>
            <w:tcW w:w="5275" w:type="dxa"/>
            <w:gridSpan w:val="4"/>
            <w:tcBorders>
              <w:top w:val="single" w:color="000000" w:sz="4" w:space="0"/>
              <w:left w:val="single" w:color="B2B2B2" w:sz="4" w:space="0"/>
              <w:bottom w:val="single" w:color="000000" w:sz="4" w:space="0"/>
              <w:right w:val="single" w:color="000000"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6"/>
                <w:rFonts w:hint="default" w:ascii="仿宋_GB2312" w:hAnsi="仿宋_GB2312" w:eastAsia="仿宋_GB2312" w:cs="仿宋_GB2312"/>
                <w:lang w:bidi="ar"/>
              </w:rPr>
              <w:t>卖出方账户信息</w:t>
            </w: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337" w:hRule="atLeast"/>
          <w:jc w:val="center"/>
        </w:trPr>
        <w:tc>
          <w:tcPr>
            <w:tcW w:w="2003" w:type="dxa"/>
            <w:tcBorders>
              <w:top w:val="single" w:color="000000"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支付系统行名</w:t>
            </w:r>
          </w:p>
        </w:tc>
        <w:tc>
          <w:tcPr>
            <w:tcW w:w="3376" w:type="dxa"/>
            <w:gridSpan w:val="3"/>
            <w:tcBorders>
              <w:top w:val="single" w:color="000000"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000000"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支付系统行名</w:t>
            </w:r>
          </w:p>
        </w:tc>
        <w:tc>
          <w:tcPr>
            <w:tcW w:w="3352" w:type="dxa"/>
            <w:gridSpan w:val="3"/>
            <w:tcBorders>
              <w:top w:val="single" w:color="000000"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支付系统行号</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支付系统行号</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资金账户名称</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资金账户名称</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资金账号</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资金账号</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337" w:hRule="atLeast"/>
          <w:jc w:val="center"/>
        </w:trPr>
        <w:tc>
          <w:tcPr>
            <w:tcW w:w="2003"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托管账户名称</w:t>
            </w:r>
          </w:p>
        </w:tc>
        <w:tc>
          <w:tcPr>
            <w:tcW w:w="3376"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托管账户名称</w:t>
            </w:r>
          </w:p>
        </w:tc>
        <w:tc>
          <w:tcPr>
            <w:tcW w:w="3352"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003" w:type="dxa"/>
            <w:tcBorders>
              <w:top w:val="single" w:color="B2B2B2" w:sz="4" w:space="0"/>
              <w:left w:val="single" w:color="000000"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托管账号</w:t>
            </w:r>
          </w:p>
        </w:tc>
        <w:tc>
          <w:tcPr>
            <w:tcW w:w="3376" w:type="dxa"/>
            <w:gridSpan w:val="3"/>
            <w:tcBorders>
              <w:top w:val="single" w:color="B2B2B2" w:sz="4" w:space="0"/>
              <w:left w:val="single" w:color="B2B2B2" w:sz="4" w:space="0"/>
              <w:bottom w:val="single" w:color="000000"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923" w:type="dxa"/>
            <w:tcBorders>
              <w:top w:val="single" w:color="B2B2B2" w:sz="4" w:space="0"/>
              <w:left w:val="single" w:color="B2B2B2"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托管账号</w:t>
            </w:r>
          </w:p>
        </w:tc>
        <w:tc>
          <w:tcPr>
            <w:tcW w:w="3352" w:type="dxa"/>
            <w:gridSpan w:val="3"/>
            <w:tcBorders>
              <w:top w:val="single" w:color="B2B2B2" w:sz="4" w:space="0"/>
              <w:left w:val="single" w:color="B2B2B2"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36" w:type="dxa"/>
            <w:tcBorders>
              <w:top w:val="nil"/>
              <w:left w:val="nil"/>
              <w:bottom w:val="nil"/>
              <w:right w:val="nil"/>
            </w:tcBorders>
            <w:shd w:val="clear" w:color="auto" w:fill="auto"/>
            <w:noWrap/>
            <w:vAlign w:val="bottom"/>
          </w:tcPr>
          <w:p>
            <w:pP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0890" w:type="dxa"/>
            <w:gridSpan w:val="9"/>
            <w:tcBorders>
              <w:top w:val="nil"/>
              <w:left w:val="nil"/>
              <w:bottom w:val="nil"/>
              <w:right w:val="nil"/>
            </w:tcBorders>
            <w:shd w:val="clear" w:color="auto" w:fill="auto"/>
          </w:tcPr>
          <w:p>
            <w:pPr>
              <w:widowControl/>
              <w:ind w:firstLine="240" w:firstLineChars="100"/>
              <w:jc w:val="left"/>
              <w:textAlignment w:val="top"/>
              <w:rPr>
                <w:rFonts w:ascii="仿宋_GB2312" w:hAnsi="仿宋_GB2312" w:eastAsia="仿宋_GB2312" w:cs="仿宋_GB2312"/>
                <w:color w:val="000000"/>
                <w:sz w:val="24"/>
              </w:rPr>
            </w:pPr>
            <w:r>
              <w:rPr>
                <w:rStyle w:val="37"/>
                <w:rFonts w:hint="default" w:ascii="仿宋_GB2312" w:hAnsi="仿宋_GB2312" w:eastAsia="仿宋_GB2312" w:cs="仿宋_GB2312"/>
                <w:lang w:bidi="ar"/>
              </w:rPr>
              <w:t>*交易合同一方违约，违约方应根据双方约定向对手方承担违约责任。</w:t>
            </w:r>
          </w:p>
        </w:tc>
      </w:tr>
    </w:tbl>
    <w:p>
      <w:pPr>
        <w:spacing w:line="560" w:lineRule="exact"/>
        <w:rPr>
          <w:rFonts w:ascii="仿宋_GB2312" w:hAnsi="仿宋_GB2312" w:eastAsia="仿宋_GB2312" w:cs="仿宋_GB2312"/>
          <w:sz w:val="30"/>
          <w:szCs w:val="30"/>
        </w:rPr>
      </w:pP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br w:type="page"/>
      </w:r>
    </w:p>
    <w:tbl>
      <w:tblPr>
        <w:tblStyle w:val="18"/>
        <w:tblW w:w="10890" w:type="dxa"/>
        <w:jc w:val="center"/>
        <w:tblInd w:w="0" w:type="dxa"/>
        <w:tblLayout w:type="fixed"/>
        <w:tblCellMar>
          <w:top w:w="0" w:type="dxa"/>
          <w:left w:w="108" w:type="dxa"/>
          <w:bottom w:w="0" w:type="dxa"/>
          <w:right w:w="108" w:type="dxa"/>
        </w:tblCellMar>
      </w:tblPr>
      <w:tblGrid>
        <w:gridCol w:w="2450"/>
        <w:gridCol w:w="1244"/>
        <w:gridCol w:w="832"/>
        <w:gridCol w:w="825"/>
        <w:gridCol w:w="2406"/>
        <w:gridCol w:w="1248"/>
        <w:gridCol w:w="706"/>
        <w:gridCol w:w="956"/>
        <w:gridCol w:w="223"/>
      </w:tblGrid>
      <w:tr>
        <w:tblPrEx>
          <w:tblLayout w:type="fixed"/>
          <w:tblCellMar>
            <w:top w:w="0" w:type="dxa"/>
            <w:left w:w="108" w:type="dxa"/>
            <w:bottom w:w="0" w:type="dxa"/>
            <w:right w:w="108" w:type="dxa"/>
          </w:tblCellMar>
        </w:tblPrEx>
        <w:trPr>
          <w:trHeight w:val="750" w:hRule="atLeast"/>
          <w:jc w:val="center"/>
        </w:trPr>
        <w:tc>
          <w:tcPr>
            <w:tcW w:w="10890" w:type="dxa"/>
            <w:gridSpan w:val="9"/>
            <w:tcBorders>
              <w:top w:val="nil"/>
              <w:left w:val="nil"/>
              <w:bottom w:val="nil"/>
              <w:right w:val="nil"/>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39"/>
                <w:rFonts w:hint="default" w:ascii="黑体" w:hAnsi="黑体" w:eastAsia="黑体" w:cs="黑体"/>
                <w:sz w:val="36"/>
                <w:szCs w:val="36"/>
                <w:lang w:bidi="ar"/>
              </w:rPr>
              <w:t>票据质押式回购成交单</w:t>
            </w:r>
          </w:p>
        </w:tc>
      </w:tr>
      <w:tr>
        <w:tblPrEx>
          <w:tblLayout w:type="fixed"/>
          <w:tblCellMar>
            <w:top w:w="0" w:type="dxa"/>
            <w:left w:w="108" w:type="dxa"/>
            <w:bottom w:w="0" w:type="dxa"/>
            <w:right w:w="108" w:type="dxa"/>
          </w:tblCellMar>
        </w:tblPrEx>
        <w:trPr>
          <w:trHeight w:val="420" w:hRule="atLeast"/>
          <w:jc w:val="center"/>
        </w:trPr>
        <w:tc>
          <w:tcPr>
            <w:tcW w:w="10890" w:type="dxa"/>
            <w:gridSpan w:val="9"/>
            <w:tcBorders>
              <w:top w:val="nil"/>
              <w:left w:val="nil"/>
              <w:bottom w:val="nil"/>
              <w:right w:val="nil"/>
            </w:tcBorders>
            <w:shd w:val="clear" w:color="auto" w:fill="auto"/>
            <w:vAlign w:val="center"/>
          </w:tcPr>
          <w:p>
            <w:pPr>
              <w:widowControl/>
              <w:ind w:firstLine="1440" w:firstLineChars="600"/>
              <w:jc w:val="righ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上海票据交易所</w:t>
            </w:r>
          </w:p>
        </w:tc>
      </w:tr>
      <w:tr>
        <w:tblPrEx>
          <w:tblLayout w:type="fixed"/>
          <w:tblCellMar>
            <w:top w:w="0" w:type="dxa"/>
            <w:left w:w="108" w:type="dxa"/>
            <w:bottom w:w="0" w:type="dxa"/>
            <w:right w:w="108" w:type="dxa"/>
          </w:tblCellMar>
        </w:tblPrEx>
        <w:trPr>
          <w:trHeight w:val="285" w:hRule="atLeast"/>
          <w:jc w:val="center"/>
        </w:trPr>
        <w:tc>
          <w:tcPr>
            <w:tcW w:w="10890" w:type="dxa"/>
            <w:gridSpan w:val="9"/>
            <w:tcBorders>
              <w:top w:val="nil"/>
              <w:left w:val="nil"/>
              <w:bottom w:val="nil"/>
              <w:right w:val="nil"/>
            </w:tcBorders>
            <w:shd w:val="clear" w:color="auto" w:fill="auto"/>
            <w:vAlign w:val="center"/>
          </w:tcPr>
          <w:p>
            <w:pPr>
              <w:widowControl/>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成交时间:20XX-XX-XX XX:XX:XX                                 成交单编号:CR202XXXXX000001</w:t>
            </w:r>
          </w:p>
        </w:tc>
      </w:tr>
      <w:tr>
        <w:tblPrEx>
          <w:tblLayout w:type="fixed"/>
          <w:tblCellMar>
            <w:top w:w="0" w:type="dxa"/>
            <w:left w:w="108" w:type="dxa"/>
            <w:bottom w:w="0" w:type="dxa"/>
            <w:right w:w="108" w:type="dxa"/>
          </w:tblCellMar>
        </w:tblPrEx>
        <w:trPr>
          <w:trHeight w:val="465" w:hRule="atLeast"/>
          <w:jc w:val="center"/>
        </w:trPr>
        <w:tc>
          <w:tcPr>
            <w:tcW w:w="5351" w:type="dxa"/>
            <w:gridSpan w:val="4"/>
            <w:tcBorders>
              <w:top w:val="single" w:color="000000"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逆回购方信息</w:t>
            </w:r>
          </w:p>
        </w:tc>
        <w:tc>
          <w:tcPr>
            <w:tcW w:w="5316" w:type="dxa"/>
            <w:gridSpan w:val="4"/>
            <w:tcBorders>
              <w:top w:val="single" w:color="000000" w:sz="4" w:space="0"/>
              <w:left w:val="single" w:color="B2B2B2"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正回购方信息</w:t>
            </w: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机构</w:t>
            </w:r>
          </w:p>
        </w:tc>
        <w:tc>
          <w:tcPr>
            <w:tcW w:w="2901" w:type="dxa"/>
            <w:gridSpan w:val="3"/>
            <w:tcBorders>
              <w:top w:val="single" w:color="000000"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机构</w:t>
            </w:r>
          </w:p>
        </w:tc>
        <w:tc>
          <w:tcPr>
            <w:tcW w:w="2910"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交易员</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交易员</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交易员ID</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交易员ID</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电话</w:t>
            </w:r>
          </w:p>
        </w:tc>
        <w:tc>
          <w:tcPr>
            <w:tcW w:w="1244"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832"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传真</w:t>
            </w:r>
          </w:p>
        </w:tc>
        <w:tc>
          <w:tcPr>
            <w:tcW w:w="825"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电话</w:t>
            </w:r>
          </w:p>
        </w:tc>
        <w:tc>
          <w:tcPr>
            <w:tcW w:w="1248"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7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传真</w:t>
            </w:r>
          </w:p>
        </w:tc>
        <w:tc>
          <w:tcPr>
            <w:tcW w:w="956" w:type="dxa"/>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467"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法定代表人或负责人</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法定代表人或负责人</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机构地址</w:t>
            </w:r>
          </w:p>
        </w:tc>
        <w:tc>
          <w:tcPr>
            <w:tcW w:w="2901" w:type="dxa"/>
            <w:gridSpan w:val="3"/>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机构地址</w:t>
            </w:r>
          </w:p>
        </w:tc>
        <w:tc>
          <w:tcPr>
            <w:tcW w:w="2910"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600" w:hRule="atLeast"/>
          <w:jc w:val="center"/>
        </w:trPr>
        <w:tc>
          <w:tcPr>
            <w:tcW w:w="1066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成交信息</w:t>
            </w: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000000"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票面总额（元）</w:t>
            </w:r>
          </w:p>
        </w:tc>
        <w:tc>
          <w:tcPr>
            <w:tcW w:w="2901" w:type="dxa"/>
            <w:gridSpan w:val="3"/>
            <w:tcBorders>
              <w:top w:val="single" w:color="000000"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000000"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票据类别</w:t>
            </w:r>
          </w:p>
        </w:tc>
        <w:tc>
          <w:tcPr>
            <w:tcW w:w="2910" w:type="dxa"/>
            <w:gridSpan w:val="3"/>
            <w:tcBorders>
              <w:top w:val="single" w:color="000000"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应付利息（元）</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票据介质</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首期结算金额（元）</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首期结算日</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到期结算金额（元）</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到期结算日</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回购金额（元）</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结算方式</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回购利率</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清算类型</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回购收益率</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票据张（包）数</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回购期限</w:t>
            </w:r>
          </w:p>
        </w:tc>
        <w:tc>
          <w:tcPr>
            <w:tcW w:w="2901" w:type="dxa"/>
            <w:gridSpan w:val="3"/>
            <w:tcBorders>
              <w:top w:val="single" w:color="B2B2B2" w:sz="4" w:space="0"/>
              <w:left w:val="single" w:color="B2B2B2" w:sz="4" w:space="0"/>
              <w:bottom w:val="single" w:color="000000"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000000" w:sz="4" w:space="0"/>
              <w:right w:val="single" w:color="B2B2B2" w:sz="4" w:space="0"/>
            </w:tcBorders>
            <w:shd w:val="clear" w:color="auto" w:fill="auto"/>
            <w:noWrap/>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最晚首期结算时间</w:t>
            </w:r>
          </w:p>
        </w:tc>
        <w:tc>
          <w:tcPr>
            <w:tcW w:w="2910" w:type="dxa"/>
            <w:gridSpan w:val="3"/>
            <w:tcBorders>
              <w:top w:val="single" w:color="B2B2B2" w:sz="4" w:space="0"/>
              <w:left w:val="single" w:color="B2B2B2"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450" w:hRule="atLeast"/>
          <w:jc w:val="center"/>
        </w:trPr>
        <w:tc>
          <w:tcPr>
            <w:tcW w:w="5351" w:type="dxa"/>
            <w:gridSpan w:val="4"/>
            <w:tcBorders>
              <w:top w:val="single" w:color="000000" w:sz="4" w:space="0"/>
              <w:left w:val="single" w:color="000000" w:sz="4" w:space="0"/>
              <w:bottom w:val="single" w:color="000000" w:sz="4" w:space="0"/>
              <w:right w:val="single" w:color="B2B2B2" w:sz="4" w:space="0"/>
            </w:tcBorders>
            <w:shd w:val="clear" w:color="auto" w:fill="auto"/>
            <w:vAlign w:val="center"/>
          </w:tcPr>
          <w:p>
            <w:pPr>
              <w:widowControl/>
              <w:ind w:firstLine="1440" w:firstLineChars="600"/>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逆回购方账户信息</w:t>
            </w:r>
          </w:p>
        </w:tc>
        <w:tc>
          <w:tcPr>
            <w:tcW w:w="5316" w:type="dxa"/>
            <w:gridSpan w:val="4"/>
            <w:tcBorders>
              <w:top w:val="single" w:color="000000" w:sz="4" w:space="0"/>
              <w:left w:val="single" w:color="B2B2B2" w:sz="4" w:space="0"/>
              <w:bottom w:val="single" w:color="000000" w:sz="4" w:space="0"/>
              <w:right w:val="single" w:color="000000" w:sz="4" w:space="0"/>
            </w:tcBorders>
            <w:shd w:val="clear" w:color="auto" w:fill="auto"/>
            <w:vAlign w:val="center"/>
          </w:tcPr>
          <w:p>
            <w:pPr>
              <w:widowControl/>
              <w:ind w:firstLine="1200" w:firstLineChars="500"/>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正回购方账户信息</w:t>
            </w: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319" w:hRule="atLeast"/>
          <w:jc w:val="center"/>
        </w:trPr>
        <w:tc>
          <w:tcPr>
            <w:tcW w:w="2450" w:type="dxa"/>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支付系统行名</w:t>
            </w:r>
          </w:p>
        </w:tc>
        <w:tc>
          <w:tcPr>
            <w:tcW w:w="2901" w:type="dxa"/>
            <w:gridSpan w:val="3"/>
            <w:tcBorders>
              <w:top w:val="single" w:color="000000"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支付系统行名</w:t>
            </w:r>
          </w:p>
        </w:tc>
        <w:tc>
          <w:tcPr>
            <w:tcW w:w="2910"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支付系统行号</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支付系统行号</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资金账户名称</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资金账户名称</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资金账号</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资金账号</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托管账户名称</w:t>
            </w:r>
          </w:p>
        </w:tc>
        <w:tc>
          <w:tcPr>
            <w:tcW w:w="2901"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托管账户名称</w:t>
            </w:r>
          </w:p>
        </w:tc>
        <w:tc>
          <w:tcPr>
            <w:tcW w:w="2910"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450" w:type="dxa"/>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托管账号</w:t>
            </w:r>
          </w:p>
        </w:tc>
        <w:tc>
          <w:tcPr>
            <w:tcW w:w="2901" w:type="dxa"/>
            <w:gridSpan w:val="3"/>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406" w:type="dxa"/>
            <w:tcBorders>
              <w:top w:val="single" w:color="B2B2B2" w:sz="4" w:space="0"/>
              <w:left w:val="single" w:color="B2B2B2"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托管账号</w:t>
            </w:r>
          </w:p>
        </w:tc>
        <w:tc>
          <w:tcPr>
            <w:tcW w:w="2910"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223"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0890" w:type="dxa"/>
            <w:gridSpan w:val="9"/>
            <w:tcBorders>
              <w:top w:val="nil"/>
              <w:left w:val="nil"/>
              <w:bottom w:val="nil"/>
              <w:right w:val="nil"/>
            </w:tcBorders>
            <w:shd w:val="clear" w:color="auto" w:fill="auto"/>
            <w:vAlign w:val="center"/>
          </w:tcPr>
          <w:p>
            <w:pPr>
              <w:widowControl/>
              <w:ind w:firstLine="240" w:firstLineChars="100"/>
              <w:jc w:val="left"/>
              <w:textAlignment w:val="top"/>
              <w:rPr>
                <w:rFonts w:ascii="仿宋_GB2312" w:hAnsi="仿宋_GB2312" w:eastAsia="仿宋_GB2312" w:cs="仿宋_GB2312"/>
                <w:color w:val="000000"/>
                <w:sz w:val="24"/>
              </w:rPr>
            </w:pPr>
            <w:r>
              <w:rPr>
                <w:rStyle w:val="44"/>
                <w:rFonts w:hint="default" w:ascii="仿宋_GB2312" w:hAnsi="仿宋_GB2312" w:eastAsia="仿宋_GB2312" w:cs="仿宋_GB2312"/>
                <w:sz w:val="24"/>
                <w:szCs w:val="24"/>
                <w:lang w:bidi="ar"/>
              </w:rPr>
              <w:t>*交易合同一方违约，违约方应根据双方约定向对手方承担违约责任。</w:t>
            </w:r>
          </w:p>
        </w:tc>
      </w:tr>
    </w:tbl>
    <w:p>
      <w:pPr>
        <w:spacing w:line="560" w:lineRule="exact"/>
        <w:rPr>
          <w:rFonts w:ascii="仿宋_GB2312" w:hAnsi="仿宋_GB2312" w:eastAsia="仿宋_GB2312" w:cs="仿宋_GB2312"/>
          <w:sz w:val="30"/>
          <w:szCs w:val="30"/>
        </w:rPr>
      </w:pPr>
    </w:p>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br w:type="page"/>
      </w:r>
    </w:p>
    <w:tbl>
      <w:tblPr>
        <w:tblStyle w:val="18"/>
        <w:tblW w:w="10890" w:type="dxa"/>
        <w:jc w:val="center"/>
        <w:tblInd w:w="0" w:type="dxa"/>
        <w:tblLayout w:type="fixed"/>
        <w:tblCellMar>
          <w:top w:w="0" w:type="dxa"/>
          <w:left w:w="108" w:type="dxa"/>
          <w:bottom w:w="0" w:type="dxa"/>
          <w:right w:w="108" w:type="dxa"/>
        </w:tblCellMar>
      </w:tblPr>
      <w:tblGrid>
        <w:gridCol w:w="1892"/>
        <w:gridCol w:w="805"/>
        <w:gridCol w:w="520"/>
        <w:gridCol w:w="822"/>
        <w:gridCol w:w="1256"/>
        <w:gridCol w:w="1847"/>
        <w:gridCol w:w="850"/>
        <w:gridCol w:w="520"/>
        <w:gridCol w:w="749"/>
        <w:gridCol w:w="1329"/>
        <w:gridCol w:w="300"/>
      </w:tblGrid>
      <w:tr>
        <w:tblPrEx>
          <w:tblLayout w:type="fixed"/>
          <w:tblCellMar>
            <w:top w:w="0" w:type="dxa"/>
            <w:left w:w="108" w:type="dxa"/>
            <w:bottom w:w="0" w:type="dxa"/>
            <w:right w:w="108" w:type="dxa"/>
          </w:tblCellMar>
        </w:tblPrEx>
        <w:trPr>
          <w:trHeight w:val="750" w:hRule="atLeast"/>
          <w:jc w:val="center"/>
        </w:trPr>
        <w:tc>
          <w:tcPr>
            <w:tcW w:w="10890" w:type="dxa"/>
            <w:gridSpan w:val="11"/>
            <w:tcBorders>
              <w:top w:val="nil"/>
              <w:left w:val="nil"/>
              <w:bottom w:val="nil"/>
              <w:right w:val="nil"/>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黑体" w:hAnsi="黑体" w:eastAsia="黑体" w:cs="黑体"/>
                <w:color w:val="000000"/>
                <w:kern w:val="0"/>
                <w:sz w:val="36"/>
                <w:szCs w:val="36"/>
                <w:lang w:bidi="ar"/>
              </w:rPr>
              <w:t>票据买断式回购成交单</w:t>
            </w:r>
          </w:p>
        </w:tc>
      </w:tr>
      <w:tr>
        <w:tblPrEx>
          <w:tblLayout w:type="fixed"/>
          <w:tblCellMar>
            <w:top w:w="0" w:type="dxa"/>
            <w:left w:w="108" w:type="dxa"/>
            <w:bottom w:w="0" w:type="dxa"/>
            <w:right w:w="108" w:type="dxa"/>
          </w:tblCellMar>
        </w:tblPrEx>
        <w:trPr>
          <w:trHeight w:val="420" w:hRule="atLeast"/>
          <w:jc w:val="center"/>
        </w:trPr>
        <w:tc>
          <w:tcPr>
            <w:tcW w:w="10890" w:type="dxa"/>
            <w:gridSpan w:val="11"/>
            <w:tcBorders>
              <w:top w:val="nil"/>
              <w:left w:val="nil"/>
              <w:bottom w:val="nil"/>
              <w:right w:val="nil"/>
            </w:tcBorders>
            <w:shd w:val="clear" w:color="auto" w:fill="auto"/>
            <w:vAlign w:val="center"/>
          </w:tcPr>
          <w:p>
            <w:pPr>
              <w:widowControl/>
              <w:ind w:firstLine="1440" w:firstLineChars="600"/>
              <w:jc w:val="righ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上海票据交易所</w:t>
            </w:r>
          </w:p>
        </w:tc>
      </w:tr>
      <w:tr>
        <w:tblPrEx>
          <w:tblLayout w:type="fixed"/>
          <w:tblCellMar>
            <w:top w:w="0" w:type="dxa"/>
            <w:left w:w="108" w:type="dxa"/>
            <w:bottom w:w="0" w:type="dxa"/>
            <w:right w:w="108" w:type="dxa"/>
          </w:tblCellMar>
        </w:tblPrEx>
        <w:trPr>
          <w:trHeight w:val="285" w:hRule="atLeast"/>
          <w:jc w:val="center"/>
        </w:trPr>
        <w:tc>
          <w:tcPr>
            <w:tcW w:w="10890" w:type="dxa"/>
            <w:gridSpan w:val="11"/>
            <w:tcBorders>
              <w:top w:val="nil"/>
              <w:left w:val="nil"/>
              <w:bottom w:val="nil"/>
              <w:right w:val="nil"/>
            </w:tcBorders>
            <w:shd w:val="clear" w:color="auto" w:fill="auto"/>
            <w:vAlign w:val="center"/>
          </w:tcPr>
          <w:p>
            <w:pPr>
              <w:widowControl/>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成交时间:20XX-XX-XX XX:XX:XX                                  成交单编号:OR202XXXXX000001</w:t>
            </w:r>
          </w:p>
        </w:tc>
      </w:tr>
      <w:tr>
        <w:tblPrEx>
          <w:tblLayout w:type="fixed"/>
          <w:tblCellMar>
            <w:top w:w="0" w:type="dxa"/>
            <w:left w:w="108" w:type="dxa"/>
            <w:bottom w:w="0" w:type="dxa"/>
            <w:right w:w="108" w:type="dxa"/>
          </w:tblCellMar>
        </w:tblPrEx>
        <w:trPr>
          <w:trHeight w:val="465" w:hRule="atLeast"/>
          <w:jc w:val="center"/>
        </w:trPr>
        <w:tc>
          <w:tcPr>
            <w:tcW w:w="5295" w:type="dxa"/>
            <w:gridSpan w:val="5"/>
            <w:tcBorders>
              <w:top w:val="single" w:color="000000"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逆回购方信息</w:t>
            </w:r>
          </w:p>
        </w:tc>
        <w:tc>
          <w:tcPr>
            <w:tcW w:w="5295" w:type="dxa"/>
            <w:gridSpan w:val="5"/>
            <w:tcBorders>
              <w:top w:val="single" w:color="000000" w:sz="4" w:space="0"/>
              <w:left w:val="single" w:color="B2B2B2"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正回购方信息</w:t>
            </w: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892" w:type="dxa"/>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机构</w:t>
            </w:r>
          </w:p>
        </w:tc>
        <w:tc>
          <w:tcPr>
            <w:tcW w:w="3403" w:type="dxa"/>
            <w:gridSpan w:val="4"/>
            <w:tcBorders>
              <w:top w:val="single" w:color="000000"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847" w:type="dxa"/>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机构</w:t>
            </w:r>
          </w:p>
        </w:tc>
        <w:tc>
          <w:tcPr>
            <w:tcW w:w="3448" w:type="dxa"/>
            <w:gridSpan w:val="4"/>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892"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交易员</w:t>
            </w:r>
          </w:p>
        </w:tc>
        <w:tc>
          <w:tcPr>
            <w:tcW w:w="3403" w:type="dxa"/>
            <w:gridSpan w:val="4"/>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847"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交易员</w:t>
            </w:r>
          </w:p>
        </w:tc>
        <w:tc>
          <w:tcPr>
            <w:tcW w:w="3448" w:type="dxa"/>
            <w:gridSpan w:val="4"/>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892"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交易员ID</w:t>
            </w:r>
          </w:p>
        </w:tc>
        <w:tc>
          <w:tcPr>
            <w:tcW w:w="3403" w:type="dxa"/>
            <w:gridSpan w:val="4"/>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1847"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交易员ID</w:t>
            </w:r>
          </w:p>
        </w:tc>
        <w:tc>
          <w:tcPr>
            <w:tcW w:w="3448" w:type="dxa"/>
            <w:gridSpan w:val="4"/>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892"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电话</w:t>
            </w:r>
          </w:p>
        </w:tc>
        <w:tc>
          <w:tcPr>
            <w:tcW w:w="1325"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822"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传真</w:t>
            </w:r>
          </w:p>
        </w:tc>
        <w:tc>
          <w:tcPr>
            <w:tcW w:w="1256" w:type="dxa"/>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847"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电话</w:t>
            </w:r>
          </w:p>
        </w:tc>
        <w:tc>
          <w:tcPr>
            <w:tcW w:w="1370"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749"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传真</w:t>
            </w:r>
          </w:p>
        </w:tc>
        <w:tc>
          <w:tcPr>
            <w:tcW w:w="1329" w:type="dxa"/>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505" w:hRule="atLeast"/>
          <w:jc w:val="center"/>
        </w:trPr>
        <w:tc>
          <w:tcPr>
            <w:tcW w:w="1892" w:type="dxa"/>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法定代表人或负责人</w:t>
            </w:r>
          </w:p>
        </w:tc>
        <w:tc>
          <w:tcPr>
            <w:tcW w:w="3403" w:type="dxa"/>
            <w:gridSpan w:val="4"/>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847" w:type="dxa"/>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法定代表人或负责人</w:t>
            </w:r>
          </w:p>
        </w:tc>
        <w:tc>
          <w:tcPr>
            <w:tcW w:w="3448" w:type="dxa"/>
            <w:gridSpan w:val="4"/>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440" w:hRule="atLeast"/>
          <w:jc w:val="center"/>
        </w:trPr>
        <w:tc>
          <w:tcPr>
            <w:tcW w:w="1892" w:type="dxa"/>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机构地址</w:t>
            </w:r>
          </w:p>
        </w:tc>
        <w:tc>
          <w:tcPr>
            <w:tcW w:w="3403" w:type="dxa"/>
            <w:gridSpan w:val="4"/>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1847" w:type="dxa"/>
            <w:tcBorders>
              <w:top w:val="single" w:color="B2B2B2" w:sz="4" w:space="0"/>
              <w:left w:val="single" w:color="B2B2B2"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机构地址</w:t>
            </w:r>
          </w:p>
        </w:tc>
        <w:tc>
          <w:tcPr>
            <w:tcW w:w="3448" w:type="dxa"/>
            <w:gridSpan w:val="4"/>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600" w:hRule="atLeast"/>
          <w:jc w:val="center"/>
        </w:trPr>
        <w:tc>
          <w:tcPr>
            <w:tcW w:w="1059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成交信息</w:t>
            </w: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票面总额（元）</w:t>
            </w:r>
          </w:p>
        </w:tc>
        <w:tc>
          <w:tcPr>
            <w:tcW w:w="2598" w:type="dxa"/>
            <w:gridSpan w:val="3"/>
            <w:tcBorders>
              <w:top w:val="single" w:color="000000"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票据类别</w:t>
            </w:r>
          </w:p>
        </w:tc>
        <w:tc>
          <w:tcPr>
            <w:tcW w:w="2598"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首期应付利息（元）</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票据介质</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到期应付利息（元）</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首期结算日</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首期结算金额（元）</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到期结算日</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到期结算金额（元）</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结算方式</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回购收益率</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清算类型</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首期交易利率</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最晚首期结算时间</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到期交易利率</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票据张（包）数</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回购期限</w:t>
            </w:r>
          </w:p>
        </w:tc>
        <w:tc>
          <w:tcPr>
            <w:tcW w:w="2598" w:type="dxa"/>
            <w:gridSpan w:val="3"/>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598"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450" w:hRule="atLeast"/>
          <w:jc w:val="center"/>
        </w:trPr>
        <w:tc>
          <w:tcPr>
            <w:tcW w:w="5295" w:type="dxa"/>
            <w:gridSpan w:val="5"/>
            <w:tcBorders>
              <w:top w:val="single" w:color="000000"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逆回购方账户信息</w:t>
            </w:r>
          </w:p>
        </w:tc>
        <w:tc>
          <w:tcPr>
            <w:tcW w:w="5295" w:type="dxa"/>
            <w:gridSpan w:val="5"/>
            <w:tcBorders>
              <w:top w:val="single" w:color="000000" w:sz="4" w:space="0"/>
              <w:left w:val="single" w:color="B2B2B2" w:sz="4" w:space="0"/>
              <w:bottom w:val="single" w:color="000000" w:sz="4" w:space="0"/>
              <w:right w:val="single" w:color="000000"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正回购方账户信息</w:t>
            </w: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000000"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支付系统行名</w:t>
            </w:r>
          </w:p>
        </w:tc>
        <w:tc>
          <w:tcPr>
            <w:tcW w:w="2598" w:type="dxa"/>
            <w:gridSpan w:val="3"/>
            <w:tcBorders>
              <w:top w:val="single" w:color="000000"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697" w:type="dxa"/>
            <w:gridSpan w:val="2"/>
            <w:tcBorders>
              <w:top w:val="single" w:color="000000"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支付系统行名</w:t>
            </w:r>
          </w:p>
        </w:tc>
        <w:tc>
          <w:tcPr>
            <w:tcW w:w="2598" w:type="dxa"/>
            <w:gridSpan w:val="3"/>
            <w:tcBorders>
              <w:top w:val="single" w:color="000000"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支付系统行号</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支付系统行号</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资金账户名称</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资金账户名称</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资金账号</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noWrap/>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资金账号</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托管账户名称</w:t>
            </w:r>
          </w:p>
        </w:tc>
        <w:tc>
          <w:tcPr>
            <w:tcW w:w="2598" w:type="dxa"/>
            <w:gridSpan w:val="3"/>
            <w:tcBorders>
              <w:top w:val="single" w:color="B2B2B2" w:sz="4" w:space="0"/>
              <w:left w:val="single" w:color="B2B2B2" w:sz="4" w:space="0"/>
              <w:bottom w:val="single" w:color="B2B2B2"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B2B2B2"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托管账户名称</w:t>
            </w:r>
          </w:p>
        </w:tc>
        <w:tc>
          <w:tcPr>
            <w:tcW w:w="2598" w:type="dxa"/>
            <w:gridSpan w:val="3"/>
            <w:tcBorders>
              <w:top w:val="single" w:color="B2B2B2" w:sz="4" w:space="0"/>
              <w:left w:val="single" w:color="B2B2B2" w:sz="4" w:space="0"/>
              <w:bottom w:val="single" w:color="B2B2B2"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2697" w:type="dxa"/>
            <w:gridSpan w:val="2"/>
            <w:tcBorders>
              <w:top w:val="single" w:color="B2B2B2" w:sz="4" w:space="0"/>
              <w:left w:val="single" w:color="000000"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托管账号</w:t>
            </w:r>
          </w:p>
        </w:tc>
        <w:tc>
          <w:tcPr>
            <w:tcW w:w="2598" w:type="dxa"/>
            <w:gridSpan w:val="3"/>
            <w:tcBorders>
              <w:top w:val="single" w:color="B2B2B2" w:sz="4" w:space="0"/>
              <w:left w:val="single" w:color="B2B2B2" w:sz="4" w:space="0"/>
              <w:bottom w:val="single" w:color="000000" w:sz="4" w:space="0"/>
              <w:right w:val="single" w:color="B2B2B2" w:sz="4" w:space="0"/>
            </w:tcBorders>
            <w:shd w:val="clear" w:color="auto" w:fill="auto"/>
            <w:vAlign w:val="center"/>
          </w:tcPr>
          <w:p>
            <w:pPr>
              <w:jc w:val="center"/>
              <w:rPr>
                <w:rFonts w:ascii="仿宋_GB2312" w:hAnsi="仿宋_GB2312" w:eastAsia="仿宋_GB2312" w:cs="仿宋_GB2312"/>
                <w:color w:val="000000"/>
                <w:sz w:val="24"/>
              </w:rPr>
            </w:pPr>
          </w:p>
        </w:tc>
        <w:tc>
          <w:tcPr>
            <w:tcW w:w="2697" w:type="dxa"/>
            <w:gridSpan w:val="2"/>
            <w:tcBorders>
              <w:top w:val="single" w:color="B2B2B2" w:sz="4" w:space="0"/>
              <w:left w:val="single" w:color="B2B2B2" w:sz="4" w:space="0"/>
              <w:bottom w:val="single" w:color="000000" w:sz="4" w:space="0"/>
              <w:right w:val="single" w:color="B2B2B2" w:sz="4" w:space="0"/>
            </w:tcBorders>
            <w:shd w:val="clear" w:color="auto" w:fill="auto"/>
            <w:vAlign w:val="center"/>
          </w:tcPr>
          <w:p>
            <w:pPr>
              <w:widowControl/>
              <w:jc w:val="center"/>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托管账号</w:t>
            </w:r>
          </w:p>
        </w:tc>
        <w:tc>
          <w:tcPr>
            <w:tcW w:w="2598" w:type="dxa"/>
            <w:gridSpan w:val="3"/>
            <w:tcBorders>
              <w:top w:val="single" w:color="B2B2B2" w:sz="4" w:space="0"/>
              <w:left w:val="single" w:color="B2B2B2"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4"/>
              </w:rPr>
            </w:pPr>
          </w:p>
        </w:tc>
        <w:tc>
          <w:tcPr>
            <w:tcW w:w="300" w:type="dxa"/>
            <w:tcBorders>
              <w:top w:val="nil"/>
              <w:left w:val="nil"/>
              <w:bottom w:val="nil"/>
              <w:right w:val="nil"/>
            </w:tcBorders>
            <w:shd w:val="clear" w:color="auto" w:fill="auto"/>
            <w:noWrap/>
            <w:vAlign w:val="center"/>
          </w:tcPr>
          <w:p>
            <w:pPr>
              <w:jc w:val="center"/>
              <w:rPr>
                <w:rFonts w:ascii="仿宋_GB2312" w:hAnsi="仿宋_GB2312" w:eastAsia="仿宋_GB2312" w:cs="仿宋_GB2312"/>
                <w:color w:val="000000"/>
                <w:sz w:val="24"/>
              </w:rPr>
            </w:pPr>
          </w:p>
        </w:tc>
      </w:tr>
      <w:tr>
        <w:tblPrEx>
          <w:tblLayout w:type="fixed"/>
          <w:tblCellMar>
            <w:top w:w="0" w:type="dxa"/>
            <w:left w:w="108" w:type="dxa"/>
            <w:bottom w:w="0" w:type="dxa"/>
            <w:right w:w="108" w:type="dxa"/>
          </w:tblCellMar>
        </w:tblPrEx>
        <w:trPr>
          <w:trHeight w:val="285" w:hRule="atLeast"/>
          <w:jc w:val="center"/>
        </w:trPr>
        <w:tc>
          <w:tcPr>
            <w:tcW w:w="10890" w:type="dxa"/>
            <w:gridSpan w:val="11"/>
            <w:tcBorders>
              <w:top w:val="nil"/>
              <w:left w:val="nil"/>
              <w:bottom w:val="nil"/>
              <w:right w:val="nil"/>
            </w:tcBorders>
            <w:shd w:val="clear" w:color="auto" w:fill="auto"/>
            <w:vAlign w:val="center"/>
          </w:tcPr>
          <w:p>
            <w:pPr>
              <w:widowControl/>
              <w:ind w:firstLine="240" w:firstLineChars="100"/>
              <w:jc w:val="left"/>
              <w:textAlignment w:val="top"/>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*交易合同一方违约，违约方应根据双方约定向对手方承担违约责任。</w:t>
            </w:r>
          </w:p>
        </w:tc>
      </w:tr>
    </w:tbl>
    <w:p>
      <w:pPr>
        <w:ind w:firstLine="640" w:firstLineChars="200"/>
        <w:rPr>
          <w:rFonts w:ascii="仿宋" w:hAnsi="仿宋" w:eastAsia="仿宋"/>
          <w:sz w:val="32"/>
          <w:szCs w:val="32"/>
        </w:rPr>
      </w:pPr>
    </w:p>
    <w:p>
      <w:pPr>
        <w:rPr>
          <w:lang w:eastAsia="zh-Hans"/>
        </w:rPr>
      </w:pPr>
      <w:r>
        <w:rPr>
          <w:lang w:eastAsia="zh-Hans"/>
        </w:rPr>
        <w:br w:type="page"/>
      </w:r>
    </w:p>
    <w:p>
      <w:pPr>
        <w:pStyle w:val="3"/>
        <w:widowControl/>
        <w:adjustRightInd w:val="0"/>
        <w:snapToGrid w:val="0"/>
        <w:spacing w:line="240" w:lineRule="auto"/>
        <w:textAlignment w:val="baseline"/>
        <w:rPr>
          <w:rFonts w:ascii="仿宋" w:hAnsi="仿宋" w:eastAsia="仿宋" w:cs="仿宋"/>
          <w:b w:val="0"/>
          <w:bCs w:val="0"/>
          <w:color w:val="000000"/>
          <w:lang w:bidi="ar"/>
        </w:rPr>
      </w:pPr>
      <w:bookmarkStart w:id="3024" w:name="_Toc28883"/>
      <w:bookmarkStart w:id="3025" w:name="_Toc13247"/>
      <w:bookmarkStart w:id="3026" w:name="_Toc27448"/>
      <w:bookmarkStart w:id="3027" w:name="_Toc11994"/>
      <w:bookmarkStart w:id="3028" w:name="_Toc27518"/>
      <w:bookmarkStart w:id="3029" w:name="_Toc17273"/>
      <w:bookmarkStart w:id="3030" w:name="_Toc23984"/>
      <w:bookmarkStart w:id="3031" w:name="_Toc10400"/>
      <w:bookmarkStart w:id="3032" w:name="_Toc12663"/>
      <w:bookmarkStart w:id="3033" w:name="_Toc22952"/>
      <w:bookmarkStart w:id="3034" w:name="_Toc983057067"/>
      <w:bookmarkStart w:id="3035" w:name="_Toc22551"/>
      <w:bookmarkStart w:id="3036" w:name="_Toc3240"/>
      <w:r>
        <w:rPr>
          <w:rFonts w:hint="eastAsia" w:ascii="仿宋" w:hAnsi="仿宋" w:eastAsia="仿宋" w:cs="仿宋"/>
          <w:b w:val="0"/>
          <w:bCs w:val="0"/>
          <w:color w:val="000000"/>
          <w:lang w:eastAsia="zh-CN" w:bidi="ar"/>
        </w:rPr>
        <w:t>附件18</w:t>
      </w:r>
      <w:r>
        <w:rPr>
          <w:rFonts w:hint="eastAsia" w:ascii="仿宋" w:hAnsi="仿宋" w:eastAsia="仿宋" w:cs="仿宋"/>
          <w:b w:val="0"/>
          <w:bCs w:val="0"/>
          <w:color w:val="000000"/>
          <w:lang w:bidi="ar"/>
        </w:rPr>
        <w:t>：</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pPr>
        <w:jc w:val="center"/>
        <w:rPr>
          <w:rFonts w:ascii="Times New Roman" w:hAnsi="Times New Roman" w:eastAsia="黑体" w:cs="Times New Roman"/>
          <w:sz w:val="36"/>
          <w:szCs w:val="30"/>
        </w:rPr>
      </w:pPr>
      <w:r>
        <w:rPr>
          <w:rFonts w:hint="eastAsia" w:ascii="Times New Roman" w:hAnsi="Times New Roman" w:eastAsia="黑体" w:cs="Times New Roman"/>
          <w:sz w:val="36"/>
          <w:szCs w:val="30"/>
        </w:rPr>
        <w:t>上海票据交易所直接参与者</w:t>
      </w:r>
    </w:p>
    <w:p>
      <w:pPr>
        <w:jc w:val="center"/>
        <w:rPr>
          <w:rFonts w:ascii="Times New Roman" w:hAnsi="Times New Roman" w:eastAsia="黑体" w:cs="Times New Roman"/>
          <w:sz w:val="36"/>
          <w:szCs w:val="30"/>
        </w:rPr>
      </w:pPr>
      <w:r>
        <w:rPr>
          <w:rFonts w:hint="eastAsia" w:ascii="Times New Roman" w:hAnsi="Times New Roman" w:eastAsia="黑体" w:cs="Times New Roman"/>
          <w:sz w:val="36"/>
          <w:szCs w:val="30"/>
        </w:rPr>
        <w:t>账户函证及查询申请表</w:t>
      </w:r>
    </w:p>
    <w:p>
      <w:pPr>
        <w:jc w:val="center"/>
        <w:rPr>
          <w:rFonts w:ascii="Times New Roman" w:hAnsi="Times New Roman" w:eastAsia="黑体" w:cs="Times New Roman"/>
          <w:sz w:val="36"/>
          <w:szCs w:val="30"/>
        </w:rPr>
      </w:pP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332"/>
        <w:gridCol w:w="2182"/>
        <w:gridCol w:w="1277"/>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8522" w:type="dxa"/>
            <w:gridSpan w:val="5"/>
          </w:tcPr>
          <w:p>
            <w:pPr>
              <w:spacing w:line="360" w:lineRule="auto"/>
              <w:jc w:val="left"/>
              <w:rPr>
                <w:rFonts w:ascii="仿宋" w:hAnsi="仿宋" w:eastAsia="仿宋" w:cs="Times New Roman"/>
                <w:b/>
                <w:sz w:val="24"/>
              </w:rPr>
            </w:pPr>
            <w:r>
              <w:rPr>
                <w:rFonts w:hint="eastAsia" w:ascii="仿宋_GB2312" w:hAnsi="Calibri" w:eastAsia="仿宋_GB2312" w:cs="Calibri"/>
                <w:b/>
                <w:sz w:val="24"/>
              </w:rPr>
              <w:t>申请机构名称：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8522" w:type="dxa"/>
            <w:gridSpan w:val="5"/>
          </w:tcPr>
          <w:p>
            <w:pPr>
              <w:rPr>
                <w:rFonts w:ascii="仿宋_GB2312" w:hAnsi="Calibri" w:eastAsia="仿宋_GB2312" w:cs="Calibri"/>
                <w:b/>
                <w:sz w:val="24"/>
              </w:rPr>
            </w:pPr>
            <w:r>
              <w:rPr>
                <w:rFonts w:hint="eastAsia" w:ascii="仿宋_GB2312" w:hAnsi="Calibri" w:eastAsia="仿宋_GB2312" w:cs="Calibri"/>
                <w:b/>
                <w:sz w:val="24"/>
              </w:rPr>
              <w:t>查询事由：</w:t>
            </w:r>
          </w:p>
          <w:p>
            <w:pPr>
              <w:ind w:firstLine="1080" w:firstLineChars="450"/>
              <w:rPr>
                <w:rFonts w:ascii="仿宋_GB2312" w:hAnsi="Calibri" w:eastAsia="仿宋_GB2312" w:cs="Calibri"/>
                <w:sz w:val="24"/>
              </w:rPr>
            </w:pPr>
            <w:r>
              <w:rPr>
                <w:rFonts w:hint="eastAsia" w:ascii="仿宋_GB2312" w:hAnsi="Calibri" w:eastAsia="仿宋_GB2312" w:cs="Calibri"/>
                <w:sz w:val="24"/>
              </w:rPr>
              <w:t>□聘请_________</w:t>
            </w:r>
            <w:r>
              <w:rPr>
                <w:rFonts w:ascii="仿宋_GB2312" w:hAnsi="Calibri" w:eastAsia="仿宋_GB2312" w:cs="Calibri"/>
                <w:sz w:val="24"/>
              </w:rPr>
              <w:t>_________</w:t>
            </w:r>
            <w:r>
              <w:rPr>
                <w:rFonts w:hint="eastAsia" w:ascii="仿宋_GB2312" w:hAnsi="Calibri" w:eastAsia="仿宋_GB2312" w:cs="Calibri"/>
                <w:sz w:val="24"/>
              </w:rPr>
              <w:t>事务所对我单位进行审计工作</w:t>
            </w:r>
          </w:p>
          <w:p>
            <w:pPr>
              <w:ind w:firstLine="1080" w:firstLineChars="450"/>
              <w:rPr>
                <w:rFonts w:ascii="仿宋_GB2312" w:hAnsi="Calibri" w:eastAsia="仿宋_GB2312" w:cs="Calibri"/>
                <w:sz w:val="24"/>
              </w:rPr>
            </w:pPr>
            <w:r>
              <w:rPr>
                <w:rFonts w:hint="eastAsia" w:ascii="仿宋_GB2312" w:hAnsi="Calibri" w:eastAsia="仿宋_GB2312" w:cs="Calibri"/>
                <w:sz w:val="24"/>
              </w:rPr>
              <w:t>□申请机构自查_________（具体说明）</w:t>
            </w:r>
          </w:p>
          <w:p>
            <w:pPr>
              <w:ind w:firstLine="1080" w:firstLineChars="450"/>
              <w:rPr>
                <w:rFonts w:ascii="仿宋_GB2312" w:hAnsi="Calibri" w:eastAsia="仿宋_GB2312" w:cs="Calibri"/>
                <w:b/>
                <w:sz w:val="24"/>
              </w:rPr>
            </w:pPr>
            <w:r>
              <w:rPr>
                <w:rFonts w:hint="eastAsia" w:ascii="仿宋_GB2312" w:hAnsi="Calibri" w:eastAsia="仿宋_GB2312" w:cs="Calibri"/>
                <w:sz w:val="24"/>
              </w:rPr>
              <w:t>□其他________________</w:t>
            </w:r>
            <w:r>
              <w:rPr>
                <w:rFonts w:ascii="仿宋_GB2312" w:hAnsi="Calibri" w:eastAsia="仿宋_GB2312" w:cs="Calibri"/>
                <w:sz w:val="24"/>
              </w:rPr>
              <w:t>_</w:t>
            </w:r>
            <w:r>
              <w:rPr>
                <w:rFonts w:hint="eastAsia" w:ascii="仿宋_GB2312" w:hAnsi="Calibri" w:eastAsia="仿宋_GB2312" w:cs="Calibri"/>
                <w:sz w:val="24"/>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522" w:type="dxa"/>
            <w:gridSpan w:val="5"/>
          </w:tcPr>
          <w:p>
            <w:pPr>
              <w:spacing w:line="480" w:lineRule="auto"/>
              <w:rPr>
                <w:rFonts w:hint="eastAsia" w:ascii="仿宋" w:hAnsi="仿宋" w:eastAsia="仿宋_GB2312" w:cs="Times New Roman"/>
                <w:b/>
                <w:sz w:val="24"/>
              </w:rPr>
            </w:pPr>
            <w:r>
              <w:rPr>
                <w:rFonts w:hint="eastAsia" w:ascii="仿宋_GB2312" w:hAnsi="Calibri" w:eastAsia="仿宋_GB2312" w:cs="Calibri"/>
                <w:b/>
                <w:sz w:val="24"/>
              </w:rPr>
              <w:t>查询事项：</w:t>
            </w:r>
            <w:r>
              <w:rPr>
                <w:rFonts w:hint="eastAsia" w:ascii="仿宋_GB2312" w:hAnsi="Calibri" w:eastAsia="仿宋_GB2312" w:cs="Calibri"/>
                <w:sz w:val="24"/>
              </w:rPr>
              <w:t>□票据托管账户余额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981" w:type="dxa"/>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序号</w:t>
            </w:r>
          </w:p>
        </w:tc>
        <w:tc>
          <w:tcPr>
            <w:tcW w:w="2332" w:type="dxa"/>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票据托管账户账号</w:t>
            </w:r>
          </w:p>
        </w:tc>
        <w:tc>
          <w:tcPr>
            <w:tcW w:w="2182" w:type="dxa"/>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票据托管账户名称</w:t>
            </w:r>
          </w:p>
        </w:tc>
        <w:tc>
          <w:tcPr>
            <w:tcW w:w="1277" w:type="dxa"/>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查询日期</w:t>
            </w:r>
          </w:p>
        </w:tc>
        <w:tc>
          <w:tcPr>
            <w:tcW w:w="1750" w:type="dxa"/>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票据托管余额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981" w:type="dxa"/>
            <w:vAlign w:val="center"/>
          </w:tcPr>
          <w:p>
            <w:pPr>
              <w:spacing w:line="360" w:lineRule="auto"/>
              <w:jc w:val="center"/>
              <w:rPr>
                <w:rFonts w:ascii="仿宋_GB2312" w:hAnsi="Calibri" w:eastAsia="仿宋_GB2312" w:cs="Calibri"/>
                <w:sz w:val="24"/>
              </w:rPr>
            </w:pPr>
            <w:r>
              <w:rPr>
                <w:rFonts w:ascii="仿宋_GB2312" w:hAnsi="Calibri" w:eastAsia="仿宋_GB2312" w:cs="Calibri"/>
                <w:sz w:val="24"/>
              </w:rPr>
              <w:t>1</w:t>
            </w:r>
          </w:p>
        </w:tc>
        <w:tc>
          <w:tcPr>
            <w:tcW w:w="2332"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color w:val="808080" w:themeColor="text1" w:themeTint="80"/>
                <w:sz w:val="18"/>
                <w14:textFill>
                  <w14:solidFill>
                    <w14:schemeClr w14:val="tx1">
                      <w14:lumMod w14:val="50000"/>
                      <w14:lumOff w14:val="50000"/>
                    </w14:schemeClr>
                  </w14:solidFill>
                </w14:textFill>
              </w:rPr>
              <w:t>（可自行加行）</w:t>
            </w:r>
          </w:p>
        </w:tc>
        <w:tc>
          <w:tcPr>
            <w:tcW w:w="2182" w:type="dxa"/>
            <w:vAlign w:val="center"/>
          </w:tcPr>
          <w:p>
            <w:pPr>
              <w:jc w:val="center"/>
              <w:rPr>
                <w:rFonts w:ascii="仿宋_GB2312" w:hAnsi="Calibri" w:eastAsia="仿宋_GB2312" w:cs="Calibri"/>
                <w:sz w:val="24"/>
              </w:rPr>
            </w:pPr>
          </w:p>
        </w:tc>
        <w:tc>
          <w:tcPr>
            <w:tcW w:w="1277" w:type="dxa"/>
            <w:vAlign w:val="center"/>
          </w:tcPr>
          <w:p>
            <w:pPr>
              <w:jc w:val="center"/>
              <w:rPr>
                <w:rFonts w:ascii="仿宋_GB2312" w:hAnsi="Calibri" w:eastAsia="仿宋_GB2312" w:cs="Calibri"/>
                <w:sz w:val="24"/>
              </w:rPr>
            </w:pPr>
          </w:p>
        </w:tc>
        <w:tc>
          <w:tcPr>
            <w:tcW w:w="1750" w:type="dxa"/>
            <w:vAlign w:val="center"/>
          </w:tcPr>
          <w:p>
            <w:pPr>
              <w:jc w:val="center"/>
              <w:rPr>
                <w:rFonts w:ascii="仿宋_GB2312" w:hAnsi="Calibri" w:eastAsia="仿宋_GB2312"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981" w:type="dxa"/>
            <w:vAlign w:val="center"/>
          </w:tcPr>
          <w:p>
            <w:pPr>
              <w:spacing w:line="360" w:lineRule="auto"/>
              <w:jc w:val="center"/>
              <w:rPr>
                <w:rFonts w:ascii="仿宋_GB2312" w:hAnsi="Calibri" w:eastAsia="仿宋_GB2312" w:cs="Calibri"/>
                <w:sz w:val="24"/>
              </w:rPr>
            </w:pPr>
            <w:r>
              <w:rPr>
                <w:rFonts w:ascii="仿宋_GB2312" w:hAnsi="Calibri" w:eastAsia="仿宋_GB2312" w:cs="Calibri"/>
                <w:sz w:val="24"/>
              </w:rPr>
              <w:t>2</w:t>
            </w:r>
          </w:p>
        </w:tc>
        <w:tc>
          <w:tcPr>
            <w:tcW w:w="2332" w:type="dxa"/>
            <w:vAlign w:val="center"/>
          </w:tcPr>
          <w:p>
            <w:pPr>
              <w:jc w:val="center"/>
              <w:rPr>
                <w:rFonts w:ascii="仿宋_GB2312" w:hAnsi="Calibri" w:eastAsia="仿宋_GB2312" w:cs="Calibri"/>
                <w:sz w:val="24"/>
              </w:rPr>
            </w:pPr>
          </w:p>
        </w:tc>
        <w:tc>
          <w:tcPr>
            <w:tcW w:w="2182" w:type="dxa"/>
            <w:vAlign w:val="center"/>
          </w:tcPr>
          <w:p>
            <w:pPr>
              <w:jc w:val="center"/>
              <w:rPr>
                <w:rFonts w:ascii="仿宋_GB2312" w:hAnsi="Calibri" w:eastAsia="仿宋_GB2312" w:cs="Calibri"/>
                <w:sz w:val="24"/>
              </w:rPr>
            </w:pPr>
          </w:p>
        </w:tc>
        <w:tc>
          <w:tcPr>
            <w:tcW w:w="1277" w:type="dxa"/>
            <w:vAlign w:val="center"/>
          </w:tcPr>
          <w:p>
            <w:pPr>
              <w:jc w:val="center"/>
              <w:rPr>
                <w:rFonts w:ascii="仿宋_GB2312" w:hAnsi="Calibri" w:eastAsia="仿宋_GB2312" w:cs="Calibri"/>
                <w:sz w:val="24"/>
              </w:rPr>
            </w:pPr>
          </w:p>
        </w:tc>
        <w:tc>
          <w:tcPr>
            <w:tcW w:w="1750" w:type="dxa"/>
            <w:vAlign w:val="center"/>
          </w:tcPr>
          <w:p>
            <w:pPr>
              <w:jc w:val="center"/>
              <w:rPr>
                <w:rFonts w:ascii="仿宋_GB2312" w:hAnsi="Calibri" w:eastAsia="仿宋_GB2312"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8522" w:type="dxa"/>
            <w:gridSpan w:val="5"/>
          </w:tcPr>
          <w:p>
            <w:pPr>
              <w:spacing w:line="480" w:lineRule="auto"/>
              <w:rPr>
                <w:rFonts w:ascii="仿宋" w:hAnsi="仿宋" w:eastAsia="仿宋" w:cs="Times New Roman"/>
                <w:b/>
                <w:sz w:val="24"/>
              </w:rPr>
            </w:pPr>
            <w:r>
              <w:rPr>
                <w:rFonts w:hint="eastAsia" w:ascii="仿宋_GB2312" w:hAnsi="Calibri" w:eastAsia="仿宋_GB2312" w:cs="Calibri"/>
                <w:b/>
                <w:sz w:val="24"/>
              </w:rPr>
              <w:t>查询事项：</w:t>
            </w:r>
            <w:r>
              <w:rPr>
                <w:rFonts w:hint="eastAsia" w:ascii="仿宋_GB2312" w:hAnsi="Calibri" w:eastAsia="仿宋_GB2312" w:cs="Calibri"/>
                <w:sz w:val="24"/>
              </w:rPr>
              <w:t>□资金账户余额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981"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序号</w:t>
            </w:r>
          </w:p>
        </w:tc>
        <w:tc>
          <w:tcPr>
            <w:tcW w:w="2332"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资金账户账号</w:t>
            </w:r>
          </w:p>
        </w:tc>
        <w:tc>
          <w:tcPr>
            <w:tcW w:w="2182"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资金账户名称</w:t>
            </w:r>
          </w:p>
        </w:tc>
        <w:tc>
          <w:tcPr>
            <w:tcW w:w="1277"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查询日期</w:t>
            </w:r>
          </w:p>
        </w:tc>
        <w:tc>
          <w:tcPr>
            <w:tcW w:w="1750"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sz w:val="24"/>
              </w:rPr>
              <w:t>资金余额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981" w:type="dxa"/>
            <w:vAlign w:val="center"/>
          </w:tcPr>
          <w:p>
            <w:pPr>
              <w:spacing w:line="360" w:lineRule="auto"/>
              <w:jc w:val="center"/>
              <w:rPr>
                <w:rFonts w:ascii="仿宋_GB2312" w:hAnsi="Calibri" w:eastAsia="仿宋_GB2312" w:cs="Calibri"/>
                <w:sz w:val="24"/>
              </w:rPr>
            </w:pPr>
            <w:r>
              <w:rPr>
                <w:rFonts w:ascii="仿宋_GB2312" w:hAnsi="Calibri" w:eastAsia="仿宋_GB2312" w:cs="Calibri"/>
                <w:sz w:val="24"/>
              </w:rPr>
              <w:t>1</w:t>
            </w:r>
          </w:p>
        </w:tc>
        <w:tc>
          <w:tcPr>
            <w:tcW w:w="2332" w:type="dxa"/>
            <w:vAlign w:val="center"/>
          </w:tcPr>
          <w:p>
            <w:pPr>
              <w:spacing w:line="360" w:lineRule="auto"/>
              <w:jc w:val="center"/>
              <w:rPr>
                <w:rFonts w:ascii="仿宋_GB2312" w:hAnsi="Calibri" w:eastAsia="仿宋_GB2312" w:cs="Calibri"/>
                <w:sz w:val="24"/>
              </w:rPr>
            </w:pPr>
            <w:r>
              <w:rPr>
                <w:rFonts w:hint="eastAsia" w:ascii="仿宋_GB2312" w:hAnsi="Calibri" w:eastAsia="仿宋_GB2312" w:cs="Calibri"/>
                <w:color w:val="808080" w:themeColor="text1" w:themeTint="80"/>
                <w:sz w:val="18"/>
                <w14:textFill>
                  <w14:solidFill>
                    <w14:schemeClr w14:val="tx1">
                      <w14:lumMod w14:val="50000"/>
                      <w14:lumOff w14:val="50000"/>
                    </w14:schemeClr>
                  </w14:solidFill>
                </w14:textFill>
              </w:rPr>
              <w:t>（可自行加行）</w:t>
            </w:r>
          </w:p>
        </w:tc>
        <w:tc>
          <w:tcPr>
            <w:tcW w:w="2182" w:type="dxa"/>
            <w:vAlign w:val="center"/>
          </w:tcPr>
          <w:p>
            <w:pPr>
              <w:jc w:val="center"/>
              <w:rPr>
                <w:rFonts w:ascii="仿宋_GB2312" w:hAnsi="Calibri" w:eastAsia="仿宋_GB2312" w:cs="Calibri"/>
                <w:sz w:val="24"/>
              </w:rPr>
            </w:pPr>
          </w:p>
        </w:tc>
        <w:tc>
          <w:tcPr>
            <w:tcW w:w="1277" w:type="dxa"/>
            <w:vAlign w:val="center"/>
          </w:tcPr>
          <w:p>
            <w:pPr>
              <w:jc w:val="center"/>
              <w:rPr>
                <w:rFonts w:ascii="仿宋_GB2312" w:hAnsi="Calibri" w:eastAsia="仿宋_GB2312" w:cs="Calibri"/>
                <w:sz w:val="24"/>
              </w:rPr>
            </w:pPr>
          </w:p>
        </w:tc>
        <w:tc>
          <w:tcPr>
            <w:tcW w:w="1750" w:type="dxa"/>
            <w:vAlign w:val="center"/>
          </w:tcPr>
          <w:p>
            <w:pPr>
              <w:jc w:val="center"/>
              <w:rPr>
                <w:rFonts w:ascii="仿宋_GB2312" w:hAnsi="Calibri" w:eastAsia="仿宋_GB2312"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81" w:type="dxa"/>
            <w:vAlign w:val="center"/>
          </w:tcPr>
          <w:p>
            <w:pPr>
              <w:spacing w:line="360" w:lineRule="auto"/>
              <w:jc w:val="center"/>
              <w:rPr>
                <w:rFonts w:ascii="仿宋_GB2312" w:hAnsi="Calibri" w:eastAsia="仿宋_GB2312" w:cs="Calibri"/>
                <w:sz w:val="24"/>
              </w:rPr>
            </w:pPr>
            <w:r>
              <w:rPr>
                <w:rFonts w:ascii="仿宋_GB2312" w:hAnsi="Calibri" w:eastAsia="仿宋_GB2312" w:cs="Calibri"/>
                <w:sz w:val="24"/>
              </w:rPr>
              <w:t>2</w:t>
            </w:r>
          </w:p>
        </w:tc>
        <w:tc>
          <w:tcPr>
            <w:tcW w:w="2332" w:type="dxa"/>
            <w:vAlign w:val="center"/>
          </w:tcPr>
          <w:p>
            <w:pPr>
              <w:jc w:val="center"/>
              <w:rPr>
                <w:rFonts w:ascii="仿宋_GB2312" w:hAnsi="Calibri" w:eastAsia="仿宋_GB2312" w:cs="Calibri"/>
                <w:sz w:val="24"/>
              </w:rPr>
            </w:pPr>
          </w:p>
        </w:tc>
        <w:tc>
          <w:tcPr>
            <w:tcW w:w="2182" w:type="dxa"/>
            <w:vAlign w:val="center"/>
          </w:tcPr>
          <w:p>
            <w:pPr>
              <w:jc w:val="center"/>
              <w:rPr>
                <w:rFonts w:ascii="仿宋_GB2312" w:hAnsi="Calibri" w:eastAsia="仿宋_GB2312" w:cs="Calibri"/>
                <w:sz w:val="24"/>
              </w:rPr>
            </w:pPr>
          </w:p>
        </w:tc>
        <w:tc>
          <w:tcPr>
            <w:tcW w:w="1277" w:type="dxa"/>
            <w:vAlign w:val="center"/>
          </w:tcPr>
          <w:p>
            <w:pPr>
              <w:jc w:val="center"/>
              <w:rPr>
                <w:rFonts w:ascii="仿宋_GB2312" w:hAnsi="Calibri" w:eastAsia="仿宋_GB2312" w:cs="Calibri"/>
                <w:sz w:val="24"/>
              </w:rPr>
            </w:pPr>
          </w:p>
        </w:tc>
        <w:tc>
          <w:tcPr>
            <w:tcW w:w="1750" w:type="dxa"/>
            <w:vAlign w:val="center"/>
          </w:tcPr>
          <w:p>
            <w:pPr>
              <w:jc w:val="center"/>
              <w:rPr>
                <w:rFonts w:ascii="仿宋_GB2312" w:hAnsi="Calibri" w:eastAsia="仿宋_GB2312"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8522" w:type="dxa"/>
            <w:gridSpan w:val="5"/>
          </w:tcPr>
          <w:p>
            <w:pPr>
              <w:spacing w:line="360" w:lineRule="auto"/>
              <w:rPr>
                <w:rFonts w:ascii="仿宋_GB2312" w:hAnsi="Calibri" w:eastAsia="仿宋_GB2312" w:cs="Calibri"/>
                <w:b/>
                <w:sz w:val="24"/>
              </w:rPr>
            </w:pPr>
            <w:r>
              <w:rPr>
                <w:rFonts w:hint="eastAsia" w:ascii="仿宋_GB2312" w:hAnsi="Calibri" w:eastAsia="仿宋_GB2312" w:cs="Calibri"/>
                <w:b/>
                <w:sz w:val="24"/>
              </w:rPr>
              <w:t>联系人：</w:t>
            </w:r>
            <w:r>
              <w:rPr>
                <w:rFonts w:hint="eastAsia" w:ascii="仿宋_GB2312" w:hAnsi="Calibri" w:eastAsia="仿宋_GB2312" w:cs="Calibri"/>
                <w:sz w:val="24"/>
              </w:rPr>
              <w:t>姓名：___</w:t>
            </w:r>
            <w:r>
              <w:rPr>
                <w:rFonts w:ascii="仿宋_GB2312" w:hAnsi="Calibri" w:eastAsia="仿宋_GB2312" w:cs="Calibri"/>
                <w:sz w:val="24"/>
              </w:rPr>
              <w:t xml:space="preserve">_____  </w:t>
            </w:r>
            <w:r>
              <w:rPr>
                <w:rFonts w:hint="eastAsia" w:ascii="仿宋_GB2312" w:hAnsi="Calibri" w:eastAsia="仿宋_GB2312" w:cs="Calibri"/>
                <w:sz w:val="24"/>
              </w:rPr>
              <w:t>座机:__</w:t>
            </w:r>
            <w:r>
              <w:rPr>
                <w:rFonts w:ascii="仿宋_GB2312" w:hAnsi="Calibri" w:eastAsia="仿宋_GB2312" w:cs="Calibri"/>
                <w:sz w:val="24"/>
              </w:rPr>
              <w:t xml:space="preserve">_____  </w:t>
            </w:r>
            <w:r>
              <w:rPr>
                <w:rFonts w:hint="eastAsia" w:ascii="仿宋_GB2312" w:hAnsi="Calibri" w:eastAsia="仿宋_GB2312" w:cs="Calibri"/>
                <w:sz w:val="24"/>
              </w:rPr>
              <w:t>手机:</w:t>
            </w:r>
            <w:r>
              <w:rPr>
                <w:rFonts w:ascii="仿宋_GB2312" w:hAnsi="Calibri" w:eastAsia="仿宋_GB2312" w:cs="Calibri"/>
                <w:sz w:val="24"/>
              </w:rPr>
              <w:t xml:space="preserve">________  </w:t>
            </w:r>
            <w:r>
              <w:rPr>
                <w:rFonts w:hint="eastAsia" w:ascii="仿宋_GB2312" w:hAnsi="Calibri" w:eastAsia="仿宋_GB2312" w:cs="Calibri"/>
                <w:sz w:val="24"/>
              </w:rPr>
              <w:t>邮箱:____</w:t>
            </w:r>
            <w:r>
              <w:rPr>
                <w:rFonts w:ascii="仿宋_GB2312" w:hAnsi="Calibri" w:eastAsia="仿宋_GB2312" w:cs="Calibri"/>
                <w:sz w:val="24"/>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6" w:hRule="atLeast"/>
        </w:trPr>
        <w:tc>
          <w:tcPr>
            <w:tcW w:w="8522" w:type="dxa"/>
            <w:gridSpan w:val="5"/>
          </w:tcPr>
          <w:p>
            <w:pPr>
              <w:rPr>
                <w:rFonts w:ascii="仿宋_GB2312" w:hAnsi="Calibri" w:eastAsia="仿宋_GB2312" w:cs="Calibri"/>
                <w:b/>
                <w:sz w:val="24"/>
              </w:rPr>
            </w:pPr>
            <w:r>
              <w:rPr>
                <w:rFonts w:hint="eastAsia" w:ascii="仿宋_GB2312" w:hAnsi="Calibri" w:eastAsia="仿宋_GB2312" w:cs="Calibri"/>
                <w:b/>
                <w:sz w:val="24"/>
              </w:rPr>
              <w:t>回函信息：</w:t>
            </w:r>
          </w:p>
          <w:p>
            <w:pPr>
              <w:ind w:firstLine="1200" w:firstLineChars="500"/>
              <w:rPr>
                <w:rFonts w:ascii="仿宋_GB2312" w:hAnsi="Calibri" w:eastAsia="仿宋_GB2312" w:cs="Calibri"/>
                <w:sz w:val="24"/>
              </w:rPr>
            </w:pPr>
            <w:r>
              <w:rPr>
                <w:rFonts w:hint="eastAsia" w:ascii="仿宋_GB2312" w:hAnsi="Calibri" w:eastAsia="仿宋_GB2312" w:cs="Calibri"/>
                <w:sz w:val="24"/>
              </w:rPr>
              <w:t>收件人单位名称：</w:t>
            </w:r>
            <w:r>
              <w:rPr>
                <w:rFonts w:ascii="仿宋_GB2312" w:hAnsi="Calibri" w:eastAsia="仿宋_GB2312" w:cs="Calibri"/>
                <w:sz w:val="24"/>
              </w:rPr>
              <w:t>_____________________</w:t>
            </w:r>
          </w:p>
          <w:p>
            <w:pPr>
              <w:rPr>
                <w:rFonts w:ascii="仿宋_GB2312" w:hAnsi="Calibri" w:eastAsia="仿宋_GB2312" w:cs="Calibri"/>
                <w:sz w:val="24"/>
              </w:rPr>
            </w:pPr>
            <w:r>
              <w:rPr>
                <w:rFonts w:hint="eastAsia" w:ascii="仿宋_GB2312" w:hAnsi="Calibri" w:eastAsia="仿宋_GB2312" w:cs="Calibri"/>
                <w:sz w:val="24"/>
              </w:rPr>
              <w:t>收件人姓名：</w:t>
            </w:r>
            <w:r>
              <w:rPr>
                <w:rFonts w:ascii="仿宋_GB2312" w:hAnsi="Calibri" w:eastAsia="仿宋_GB2312" w:cs="Calibri"/>
                <w:sz w:val="24"/>
              </w:rPr>
              <w:t>_________________________</w:t>
            </w:r>
          </w:p>
          <w:p>
            <w:pPr>
              <w:rPr>
                <w:rFonts w:ascii="仿宋_GB2312" w:hAnsi="Calibri" w:eastAsia="仿宋_GB2312" w:cs="Calibri"/>
                <w:sz w:val="24"/>
              </w:rPr>
            </w:pPr>
            <w:r>
              <w:rPr>
                <w:rFonts w:hint="eastAsia" w:ascii="仿宋_GB2312" w:hAnsi="Calibri" w:eastAsia="仿宋_GB2312" w:cs="Calibri"/>
                <w:sz w:val="24"/>
              </w:rPr>
              <w:t>收件人地址：</w:t>
            </w:r>
            <w:r>
              <w:rPr>
                <w:rFonts w:ascii="仿宋_GB2312" w:hAnsi="Calibri" w:eastAsia="仿宋_GB2312" w:cs="Calibri"/>
                <w:sz w:val="24"/>
              </w:rPr>
              <w:t>___________________________</w:t>
            </w:r>
          </w:p>
          <w:p>
            <w:pPr>
              <w:rPr>
                <w:rFonts w:ascii="仿宋_GB2312" w:hAnsi="Calibri" w:eastAsia="仿宋_GB2312" w:cs="Calibri"/>
                <w:sz w:val="24"/>
              </w:rPr>
            </w:pPr>
            <w:r>
              <w:rPr>
                <w:rFonts w:hint="eastAsia" w:ascii="仿宋_GB2312" w:hAnsi="Calibri" w:eastAsia="仿宋_GB2312" w:cs="Calibri"/>
                <w:sz w:val="24"/>
              </w:rPr>
              <w:t>收件人座机/手机：</w:t>
            </w:r>
            <w:r>
              <w:rPr>
                <w:rFonts w:ascii="仿宋_GB2312" w:hAnsi="Calibri" w:eastAsia="仿宋_GB2312" w:cs="Calibri"/>
                <w:sz w:val="24"/>
              </w:rPr>
              <w:t>____________________</w:t>
            </w:r>
          </w:p>
          <w:p>
            <w:pPr>
              <w:ind w:firstLine="1200" w:firstLineChars="500"/>
              <w:rPr>
                <w:rFonts w:ascii="仿宋_GB2312" w:hAnsi="Calibri" w:eastAsia="仿宋_GB2312" w:cs="Calibri"/>
                <w:sz w:val="24"/>
              </w:rPr>
            </w:pPr>
            <w:r>
              <w:rPr>
                <w:rFonts w:hint="eastAsia" w:ascii="仿宋_GB2312" w:hAnsi="Calibri" w:eastAsia="仿宋_GB2312" w:cs="Calibri"/>
                <w:sz w:val="24"/>
              </w:rPr>
              <w:t>收件人邮箱：</w:t>
            </w:r>
            <w:r>
              <w:rPr>
                <w:rFonts w:ascii="仿宋_GB2312" w:hAnsi="Calibri" w:eastAsia="仿宋_GB2312" w:cs="Calibri"/>
                <w:sz w:val="24"/>
              </w:rPr>
              <w:t>_________________________</w:t>
            </w:r>
          </w:p>
          <w:p>
            <w:pPr>
              <w:ind w:firstLine="1200" w:firstLineChars="500"/>
              <w:rPr>
                <w:rFonts w:ascii="仿宋" w:hAnsi="仿宋" w:eastAsia="仿宋" w:cs="Times New Roman"/>
                <w:b/>
                <w:sz w:val="24"/>
              </w:rPr>
            </w:pPr>
            <w:r>
              <w:rPr>
                <w:rFonts w:hint="eastAsia" w:ascii="仿宋_GB2312" w:hAnsi="Calibri" w:eastAsia="仿宋_GB2312" w:cs="Calibri"/>
                <w:sz w:val="24"/>
              </w:rPr>
              <w:t>邮政编码：</w:t>
            </w:r>
            <w:r>
              <w:rPr>
                <w:rFonts w:ascii="仿宋_GB2312" w:hAnsi="Calibri" w:eastAsia="仿宋_GB2312" w:cs="Calibri"/>
                <w:sz w:val="24"/>
              </w:rPr>
              <w:t>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8522" w:type="dxa"/>
            <w:gridSpan w:val="5"/>
          </w:tcPr>
          <w:p>
            <w:pPr>
              <w:pStyle w:val="61"/>
              <w:rPr>
                <w:rFonts w:ascii="Times New Roman" w:hAnsi="Times New Roman" w:cs="Times New Roman"/>
                <w:color w:val="auto"/>
              </w:rPr>
            </w:pPr>
            <w:r>
              <w:rPr>
                <w:rFonts w:hint="eastAsia" w:ascii="Times New Roman" w:hAnsi="Times New Roman" w:eastAsia="仿宋" w:cs="Times New Roman"/>
                <w:b/>
                <w:color w:val="auto"/>
              </w:rPr>
              <w:t>申请人承诺：</w:t>
            </w:r>
          </w:p>
          <w:p>
            <w:pPr>
              <w:pStyle w:val="61"/>
              <w:ind w:firstLine="480"/>
              <w:rPr>
                <w:rFonts w:ascii="仿宋" w:hAnsi="仿宋" w:eastAsia="仿宋"/>
              </w:rPr>
            </w:pPr>
            <w:r>
              <w:rPr>
                <w:rFonts w:hint="eastAsia" w:ascii="仿宋" w:hAnsi="仿宋" w:eastAsia="仿宋"/>
              </w:rPr>
              <w:t>我单位承诺，对所查内容承担保密责任，只用作上述事由，不用于其它与上述事由无关的用途，并对此承担责任。</w:t>
            </w:r>
          </w:p>
          <w:p>
            <w:pPr>
              <w:pStyle w:val="61"/>
              <w:ind w:firstLine="480"/>
              <w:rPr>
                <w:rFonts w:ascii="仿宋" w:hAnsi="仿宋" w:eastAsia="仿宋"/>
              </w:rPr>
            </w:pPr>
          </w:p>
          <w:p>
            <w:pPr>
              <w:pStyle w:val="61"/>
              <w:ind w:firstLine="480"/>
              <w:jc w:val="right"/>
              <w:rPr>
                <w:rFonts w:ascii="仿宋_GB2312" w:eastAsia="仿宋_GB2312" w:cs="Calibri"/>
              </w:rPr>
            </w:pPr>
            <w:r>
              <w:rPr>
                <w:rFonts w:hint="eastAsia" w:ascii="仿宋_GB2312" w:eastAsia="仿宋_GB2312" w:cs="Calibri"/>
              </w:rPr>
              <w:t>（申请单位公章、会计师事务所函证章）</w:t>
            </w:r>
          </w:p>
          <w:p>
            <w:pPr>
              <w:pStyle w:val="61"/>
              <w:ind w:firstLine="480"/>
              <w:rPr>
                <w:rFonts w:ascii="仿宋" w:hAnsi="仿宋" w:eastAsia="仿宋" w:cs="Times New Roman"/>
              </w:rPr>
            </w:pPr>
            <w:r>
              <w:rPr>
                <w:rFonts w:hint="eastAsia" w:ascii="仿宋_GB2312" w:eastAsia="仿宋_GB2312" w:cs="Calibri"/>
              </w:rPr>
              <w:t>日期：</w:t>
            </w:r>
          </w:p>
        </w:tc>
      </w:tr>
    </w:tbl>
    <w:p>
      <w:pPr>
        <w:rPr>
          <w:rFonts w:ascii="仿宋" w:hAnsi="仿宋" w:eastAsia="仿宋" w:cs="Times New Roman"/>
          <w:b/>
          <w:sz w:val="24"/>
        </w:rPr>
      </w:pPr>
    </w:p>
    <w:p>
      <w:pPr>
        <w:rPr>
          <w:rFonts w:ascii="仿宋" w:hAnsi="仿宋" w:eastAsia="仿宋" w:cs="Times New Roman"/>
          <w:b/>
          <w:sz w:val="24"/>
        </w:rPr>
      </w:pPr>
    </w:p>
    <w:p>
      <w:pPr>
        <w:rPr>
          <w:rFonts w:ascii="仿宋" w:hAnsi="仿宋" w:eastAsia="仿宋" w:cs="Times New Roman"/>
          <w:b/>
          <w:sz w:val="24"/>
        </w:rPr>
      </w:pPr>
    </w:p>
    <w:p>
      <w:pPr>
        <w:rPr>
          <w:rFonts w:ascii="仿宋" w:hAnsi="仿宋" w:eastAsia="仿宋" w:cs="Times New Roman"/>
          <w:b/>
          <w:sz w:val="24"/>
        </w:rPr>
      </w:pPr>
      <w:r>
        <w:rPr>
          <w:rFonts w:hint="eastAsia" w:ascii="仿宋" w:hAnsi="仿宋" w:eastAsia="仿宋" w:cs="Times New Roman"/>
          <w:b/>
          <w:sz w:val="24"/>
        </w:rPr>
        <w:t>填写</w:t>
      </w:r>
      <w:r>
        <w:rPr>
          <w:rFonts w:ascii="仿宋" w:hAnsi="仿宋" w:eastAsia="仿宋" w:cs="Times New Roman"/>
          <w:b/>
          <w:sz w:val="24"/>
        </w:rPr>
        <w:t>说明：</w:t>
      </w:r>
    </w:p>
    <w:p>
      <w:pPr>
        <w:rPr>
          <w:rFonts w:ascii="仿宋" w:hAnsi="仿宋" w:eastAsia="仿宋" w:cs="Times New Roman"/>
          <w:sz w:val="24"/>
        </w:rPr>
      </w:pPr>
      <w:r>
        <w:rPr>
          <w:rFonts w:hint="eastAsia" w:ascii="仿宋" w:hAnsi="仿宋" w:eastAsia="仿宋" w:cs="Times New Roman"/>
          <w:sz w:val="24"/>
        </w:rPr>
        <w:t>（</w:t>
      </w:r>
      <w:r>
        <w:rPr>
          <w:rFonts w:ascii="仿宋" w:hAnsi="仿宋" w:eastAsia="仿宋" w:cs="Times New Roman"/>
          <w:sz w:val="24"/>
        </w:rPr>
        <w:t>1</w:t>
      </w:r>
      <w:r>
        <w:rPr>
          <w:rFonts w:hint="eastAsia" w:ascii="仿宋" w:hAnsi="仿宋" w:eastAsia="仿宋" w:cs="Times New Roman"/>
          <w:sz w:val="24"/>
        </w:rPr>
        <w:t>）申请机构名称：填写查询机构（被审计机构）全称；</w:t>
      </w:r>
    </w:p>
    <w:p>
      <w:pPr>
        <w:rPr>
          <w:rFonts w:ascii="仿宋" w:hAnsi="仿宋" w:eastAsia="仿宋" w:cs="Times New Roman"/>
          <w:sz w:val="24"/>
        </w:rPr>
      </w:pPr>
      <w:r>
        <w:rPr>
          <w:rFonts w:hint="eastAsia" w:ascii="仿宋" w:hAnsi="仿宋" w:eastAsia="仿宋" w:cs="Times New Roman"/>
          <w:sz w:val="24"/>
        </w:rPr>
        <w:t>（2</w:t>
      </w:r>
      <w:r>
        <w:rPr>
          <w:rFonts w:ascii="仿宋" w:hAnsi="仿宋" w:eastAsia="仿宋" w:cs="Times New Roman"/>
          <w:sz w:val="24"/>
        </w:rPr>
        <w:t>）</w:t>
      </w:r>
      <w:r>
        <w:rPr>
          <w:rFonts w:hint="eastAsia" w:ascii="仿宋" w:hAnsi="仿宋" w:eastAsia="仿宋" w:cs="Times New Roman"/>
          <w:sz w:val="24"/>
        </w:rPr>
        <w:t>查询</w:t>
      </w:r>
      <w:r>
        <w:rPr>
          <w:rFonts w:ascii="仿宋" w:hAnsi="仿宋" w:eastAsia="仿宋" w:cs="Times New Roman"/>
          <w:sz w:val="24"/>
        </w:rPr>
        <w:t>事由、</w:t>
      </w:r>
      <w:r>
        <w:rPr>
          <w:rFonts w:hint="eastAsia" w:ascii="仿宋" w:hAnsi="仿宋" w:eastAsia="仿宋" w:cs="Times New Roman"/>
          <w:sz w:val="24"/>
        </w:rPr>
        <w:t>查询事项：根据实际情况勾选、填写；</w:t>
      </w:r>
    </w:p>
    <w:p>
      <w:pPr>
        <w:rPr>
          <w:rFonts w:ascii="仿宋" w:hAnsi="仿宋" w:eastAsia="仿宋" w:cs="Times New Roman"/>
          <w:sz w:val="24"/>
        </w:rPr>
      </w:pPr>
      <w:r>
        <w:rPr>
          <w:rFonts w:hint="eastAsia" w:ascii="仿宋" w:hAnsi="仿宋" w:eastAsia="仿宋" w:cs="Times New Roman"/>
          <w:sz w:val="24"/>
        </w:rPr>
        <w:t>（3</w:t>
      </w:r>
      <w:r>
        <w:rPr>
          <w:rFonts w:ascii="仿宋" w:hAnsi="仿宋" w:eastAsia="仿宋" w:cs="Times New Roman"/>
          <w:sz w:val="24"/>
        </w:rPr>
        <w:t>）</w:t>
      </w:r>
      <w:r>
        <w:rPr>
          <w:rFonts w:hint="eastAsia" w:ascii="仿宋" w:hAnsi="仿宋" w:eastAsia="仿宋" w:cs="Times New Roman"/>
          <w:sz w:val="24"/>
        </w:rPr>
        <w:t>票据托管账户账号、</w:t>
      </w:r>
      <w:r>
        <w:rPr>
          <w:rFonts w:ascii="仿宋" w:hAnsi="仿宋" w:eastAsia="仿宋" w:cs="Times New Roman"/>
          <w:sz w:val="24"/>
        </w:rPr>
        <w:t>名称</w:t>
      </w:r>
      <w:r>
        <w:rPr>
          <w:rFonts w:hint="eastAsia" w:ascii="仿宋" w:hAnsi="仿宋" w:eastAsia="仿宋" w:cs="Times New Roman"/>
          <w:sz w:val="24"/>
        </w:rPr>
        <w:t>：填写被函证或查询机构开立在上海票据交易所的托管账户账号、名称，</w:t>
      </w:r>
      <w:r>
        <w:rPr>
          <w:rFonts w:ascii="仿宋" w:hAnsi="仿宋" w:eastAsia="仿宋" w:cs="Times New Roman"/>
          <w:sz w:val="24"/>
        </w:rPr>
        <w:t>如需查询多个</w:t>
      </w:r>
      <w:r>
        <w:rPr>
          <w:rFonts w:hint="eastAsia" w:ascii="仿宋" w:hAnsi="仿宋" w:eastAsia="仿宋" w:cs="Times New Roman"/>
          <w:sz w:val="24"/>
        </w:rPr>
        <w:t>托管</w:t>
      </w:r>
      <w:r>
        <w:rPr>
          <w:rFonts w:ascii="仿宋" w:hAnsi="仿宋" w:eastAsia="仿宋" w:cs="Times New Roman"/>
          <w:sz w:val="24"/>
        </w:rPr>
        <w:t>账户请自行增行</w:t>
      </w:r>
      <w:r>
        <w:rPr>
          <w:rFonts w:hint="eastAsia" w:ascii="仿宋" w:hAnsi="仿宋" w:eastAsia="仿宋" w:cs="Times New Roman"/>
          <w:sz w:val="24"/>
        </w:rPr>
        <w:t>；</w:t>
      </w:r>
    </w:p>
    <w:p>
      <w:pPr>
        <w:rPr>
          <w:rFonts w:ascii="仿宋" w:hAnsi="仿宋" w:eastAsia="仿宋" w:cs="Times New Roman"/>
          <w:sz w:val="24"/>
        </w:rPr>
      </w:pPr>
      <w:r>
        <w:rPr>
          <w:rFonts w:hint="eastAsia" w:ascii="仿宋" w:hAnsi="仿宋" w:eastAsia="仿宋" w:cs="Times New Roman"/>
          <w:sz w:val="24"/>
        </w:rPr>
        <w:t>（4</w:t>
      </w:r>
      <w:r>
        <w:rPr>
          <w:rFonts w:ascii="仿宋" w:hAnsi="仿宋" w:eastAsia="仿宋" w:cs="Times New Roman"/>
          <w:sz w:val="24"/>
        </w:rPr>
        <w:t>）</w:t>
      </w:r>
      <w:r>
        <w:rPr>
          <w:rFonts w:hint="eastAsia" w:ascii="仿宋" w:hAnsi="仿宋" w:eastAsia="仿宋" w:cs="Times New Roman"/>
          <w:sz w:val="24"/>
        </w:rPr>
        <w:t>资金账户账号、</w:t>
      </w:r>
      <w:r>
        <w:rPr>
          <w:rFonts w:ascii="仿宋" w:hAnsi="仿宋" w:eastAsia="仿宋" w:cs="Times New Roman"/>
          <w:sz w:val="24"/>
        </w:rPr>
        <w:t>名称</w:t>
      </w:r>
      <w:r>
        <w:rPr>
          <w:rFonts w:hint="eastAsia" w:ascii="仿宋" w:hAnsi="仿宋" w:eastAsia="仿宋" w:cs="Times New Roman"/>
          <w:sz w:val="24"/>
        </w:rPr>
        <w:t>：填写被函证或查询机构开立在上海票据交易所的资金账户账号、</w:t>
      </w:r>
      <w:r>
        <w:rPr>
          <w:rFonts w:ascii="仿宋" w:hAnsi="仿宋" w:eastAsia="仿宋" w:cs="Times New Roman"/>
          <w:sz w:val="24"/>
        </w:rPr>
        <w:t>名称</w:t>
      </w:r>
      <w:r>
        <w:rPr>
          <w:rFonts w:hint="eastAsia" w:ascii="仿宋" w:hAnsi="仿宋" w:eastAsia="仿宋" w:cs="Times New Roman"/>
          <w:sz w:val="24"/>
        </w:rPr>
        <w:t>，</w:t>
      </w:r>
      <w:r>
        <w:rPr>
          <w:rFonts w:ascii="仿宋" w:hAnsi="仿宋" w:eastAsia="仿宋" w:cs="Times New Roman"/>
          <w:sz w:val="24"/>
        </w:rPr>
        <w:t>如需查询多个</w:t>
      </w:r>
      <w:r>
        <w:rPr>
          <w:rFonts w:hint="eastAsia" w:ascii="仿宋" w:hAnsi="仿宋" w:eastAsia="仿宋" w:cs="Times New Roman"/>
          <w:sz w:val="24"/>
        </w:rPr>
        <w:t>资金</w:t>
      </w:r>
      <w:r>
        <w:rPr>
          <w:rFonts w:ascii="仿宋" w:hAnsi="仿宋" w:eastAsia="仿宋" w:cs="Times New Roman"/>
          <w:sz w:val="24"/>
        </w:rPr>
        <w:t>账户请自行增行</w:t>
      </w:r>
      <w:r>
        <w:rPr>
          <w:rFonts w:hint="eastAsia" w:ascii="仿宋" w:hAnsi="仿宋" w:eastAsia="仿宋" w:cs="Times New Roman"/>
          <w:sz w:val="24"/>
        </w:rPr>
        <w:t>；</w:t>
      </w:r>
    </w:p>
    <w:p>
      <w:pPr>
        <w:rPr>
          <w:rFonts w:ascii="仿宋" w:hAnsi="仿宋" w:eastAsia="仿宋" w:cs="Times New Roman"/>
          <w:sz w:val="24"/>
        </w:rPr>
      </w:pPr>
      <w:r>
        <w:rPr>
          <w:rFonts w:hint="eastAsia" w:ascii="仿宋" w:hAnsi="仿宋" w:eastAsia="仿宋" w:cs="Times New Roman"/>
          <w:sz w:val="24"/>
        </w:rPr>
        <w:t>（5</w:t>
      </w:r>
      <w:r>
        <w:rPr>
          <w:rFonts w:ascii="仿宋" w:hAnsi="仿宋" w:eastAsia="仿宋" w:cs="Times New Roman"/>
          <w:sz w:val="24"/>
        </w:rPr>
        <w:t>）</w:t>
      </w:r>
      <w:r>
        <w:rPr>
          <w:rFonts w:hint="eastAsia" w:ascii="仿宋" w:hAnsi="仿宋" w:eastAsia="仿宋" w:cs="Times New Roman"/>
          <w:sz w:val="24"/>
        </w:rPr>
        <w:t>会计师事务所审计需要的，申请表须加盖会计师事务所函证章、被审计单位公章，申请表</w:t>
      </w:r>
      <w:r>
        <w:rPr>
          <w:rFonts w:ascii="仿宋" w:hAnsi="仿宋" w:eastAsia="仿宋" w:cs="Times New Roman"/>
          <w:sz w:val="24"/>
        </w:rPr>
        <w:t>为</w:t>
      </w:r>
      <w:r>
        <w:rPr>
          <w:rFonts w:hint="eastAsia" w:ascii="仿宋" w:hAnsi="仿宋" w:eastAsia="仿宋" w:cs="Times New Roman"/>
          <w:sz w:val="24"/>
        </w:rPr>
        <w:t>一页</w:t>
      </w:r>
      <w:r>
        <w:rPr>
          <w:rFonts w:ascii="仿宋" w:hAnsi="仿宋" w:eastAsia="仿宋" w:cs="Times New Roman"/>
          <w:sz w:val="24"/>
        </w:rPr>
        <w:t>以上的需加盖骑缝章</w:t>
      </w:r>
      <w:r>
        <w:rPr>
          <w:rFonts w:hint="eastAsia" w:ascii="仿宋" w:hAnsi="仿宋" w:eastAsia="仿宋" w:cs="Times New Roman"/>
          <w:sz w:val="24"/>
        </w:rPr>
        <w:t>；</w:t>
      </w:r>
    </w:p>
    <w:p>
      <w:pPr>
        <w:rPr>
          <w:rFonts w:ascii="仿宋" w:hAnsi="仿宋" w:eastAsia="仿宋" w:cs="Times New Roman"/>
          <w:sz w:val="24"/>
        </w:rPr>
      </w:pPr>
      <w:r>
        <w:rPr>
          <w:rFonts w:hint="eastAsia" w:ascii="仿宋" w:hAnsi="仿宋" w:eastAsia="仿宋" w:cs="Times New Roman"/>
          <w:sz w:val="24"/>
        </w:rPr>
        <w:t xml:space="preserve">     申请机构内部审计需要的，申请表须加盖法人机构公章，申请表</w:t>
      </w:r>
      <w:r>
        <w:rPr>
          <w:rFonts w:ascii="仿宋" w:hAnsi="仿宋" w:eastAsia="仿宋" w:cs="Times New Roman"/>
          <w:sz w:val="24"/>
        </w:rPr>
        <w:t>为</w:t>
      </w:r>
      <w:r>
        <w:rPr>
          <w:rFonts w:hint="eastAsia" w:ascii="仿宋" w:hAnsi="仿宋" w:eastAsia="仿宋" w:cs="Times New Roman"/>
          <w:sz w:val="24"/>
        </w:rPr>
        <w:t>一页</w:t>
      </w:r>
      <w:r>
        <w:rPr>
          <w:rFonts w:ascii="仿宋" w:hAnsi="仿宋" w:eastAsia="仿宋" w:cs="Times New Roman"/>
          <w:sz w:val="24"/>
        </w:rPr>
        <w:t>以上的需加盖骑缝章</w:t>
      </w:r>
      <w:r>
        <w:rPr>
          <w:rFonts w:hint="eastAsia" w:ascii="仿宋" w:hAnsi="仿宋" w:eastAsia="仿宋" w:cs="Times New Roman"/>
          <w:sz w:val="24"/>
        </w:rPr>
        <w:t>；</w:t>
      </w:r>
    </w:p>
    <w:p>
      <w:pPr>
        <w:rPr>
          <w:rFonts w:ascii="仿宋" w:hAnsi="仿宋" w:eastAsia="仿宋" w:cs="Times New Roman"/>
          <w:sz w:val="24"/>
        </w:rPr>
      </w:pPr>
      <w:r>
        <w:rPr>
          <w:rFonts w:hint="eastAsia" w:ascii="仿宋" w:hAnsi="仿宋" w:eastAsia="仿宋" w:cs="Times New Roman"/>
          <w:sz w:val="24"/>
        </w:rPr>
        <w:t>（6</w:t>
      </w:r>
      <w:r>
        <w:rPr>
          <w:rFonts w:ascii="仿宋" w:hAnsi="仿宋" w:eastAsia="仿宋" w:cs="Times New Roman"/>
          <w:sz w:val="24"/>
        </w:rPr>
        <w:t>）</w:t>
      </w:r>
      <w:r>
        <w:rPr>
          <w:rFonts w:hint="eastAsia" w:ascii="仿宋" w:hAnsi="仿宋" w:eastAsia="仿宋" w:cs="Times New Roman"/>
          <w:sz w:val="24"/>
        </w:rPr>
        <w:t>查询日期请用YYYYMMDD格式填写，例如20190101；</w:t>
      </w:r>
    </w:p>
    <w:p>
      <w:pPr>
        <w:rPr>
          <w:rFonts w:ascii="仿宋" w:hAnsi="仿宋" w:eastAsia="仿宋" w:cs="Times New Roman"/>
          <w:sz w:val="24"/>
        </w:rPr>
      </w:pPr>
      <w:r>
        <w:rPr>
          <w:rFonts w:hint="eastAsia" w:ascii="仿宋" w:hAnsi="仿宋" w:eastAsia="仿宋" w:cs="Times New Roman"/>
          <w:sz w:val="24"/>
        </w:rPr>
        <w:t>（7）以上</w:t>
      </w:r>
      <w:r>
        <w:rPr>
          <w:rFonts w:ascii="仿宋" w:hAnsi="仿宋" w:eastAsia="仿宋" w:cs="Times New Roman"/>
          <w:sz w:val="24"/>
        </w:rPr>
        <w:t>信息均需机打</w:t>
      </w:r>
      <w:r>
        <w:rPr>
          <w:rFonts w:hint="eastAsia" w:ascii="仿宋" w:hAnsi="仿宋" w:eastAsia="仿宋" w:cs="Times New Roman"/>
          <w:sz w:val="24"/>
        </w:rPr>
        <w:t>。</w:t>
      </w:r>
    </w:p>
    <w:p>
      <w:pPr>
        <w:rPr>
          <w:rFonts w:ascii="仿宋" w:hAnsi="仿宋" w:eastAsia="仿宋" w:cs="仿宋"/>
          <w:sz w:val="32"/>
          <w:szCs w:val="32"/>
        </w:rPr>
      </w:pPr>
      <w:r>
        <w:rPr>
          <w:rFonts w:hint="eastAsia" w:ascii="仿宋" w:hAnsi="仿宋" w:eastAsia="仿宋" w:cs="仿宋"/>
          <w:sz w:val="32"/>
          <w:szCs w:val="32"/>
        </w:rPr>
        <w:br w:type="page"/>
      </w:r>
    </w:p>
    <w:p>
      <w:pPr>
        <w:pStyle w:val="3"/>
        <w:widowControl/>
        <w:adjustRightInd w:val="0"/>
        <w:snapToGrid w:val="0"/>
        <w:spacing w:before="0" w:after="0" w:line="240" w:lineRule="auto"/>
        <w:textAlignment w:val="baseline"/>
        <w:rPr>
          <w:rFonts w:ascii="仿宋" w:hAnsi="仿宋" w:eastAsia="仿宋" w:cs="仿宋"/>
          <w:b w:val="0"/>
          <w:bCs w:val="0"/>
          <w:color w:val="000000"/>
          <w:lang w:bidi="ar"/>
        </w:rPr>
      </w:pPr>
      <w:bookmarkStart w:id="3037" w:name="_Toc18611"/>
      <w:bookmarkStart w:id="3038" w:name="_Toc27937"/>
      <w:bookmarkStart w:id="3039" w:name="_Toc13507"/>
      <w:bookmarkStart w:id="3040" w:name="_Toc16844"/>
      <w:bookmarkStart w:id="3041" w:name="_Toc20882"/>
      <w:bookmarkStart w:id="3042" w:name="_Toc629544717"/>
      <w:bookmarkStart w:id="3043" w:name="_Toc26097"/>
      <w:bookmarkStart w:id="3044" w:name="_Toc25491"/>
      <w:bookmarkStart w:id="3045" w:name="_Toc10254"/>
      <w:bookmarkStart w:id="3046" w:name="_Toc29517"/>
      <w:bookmarkStart w:id="3047" w:name="_Toc15800"/>
      <w:bookmarkStart w:id="3048" w:name="_Toc2173"/>
      <w:bookmarkStart w:id="3049" w:name="_Toc27931"/>
      <w:r>
        <w:rPr>
          <w:rFonts w:hint="eastAsia" w:ascii="仿宋" w:hAnsi="仿宋" w:eastAsia="仿宋" w:cs="仿宋"/>
          <w:b w:val="0"/>
          <w:bCs w:val="0"/>
          <w:color w:val="000000"/>
          <w:lang w:eastAsia="zh-CN" w:bidi="ar"/>
        </w:rPr>
        <w:t>附件19</w:t>
      </w:r>
      <w:r>
        <w:rPr>
          <w:rFonts w:hint="eastAsia" w:ascii="仿宋" w:hAnsi="仿宋" w:eastAsia="仿宋" w:cs="仿宋"/>
          <w:b w:val="0"/>
          <w:bCs w:val="0"/>
          <w:color w:val="000000"/>
          <w:lang w:bidi="ar"/>
        </w:rPr>
        <w:t>：</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pPr>
        <w:pStyle w:val="34"/>
        <w:spacing w:line="560" w:lineRule="exact"/>
        <w:ind w:left="1707" w:firstLine="180" w:firstLineChars="50"/>
        <w:rPr>
          <w:rFonts w:ascii="黑体" w:hAnsi="黑体" w:eastAsia="黑体" w:cs="黑体"/>
          <w:sz w:val="36"/>
          <w:szCs w:val="36"/>
        </w:rPr>
      </w:pPr>
      <w:r>
        <w:rPr>
          <w:rFonts w:hint="eastAsia" w:ascii="黑体" w:hAnsi="黑体" w:eastAsia="黑体" w:cs="黑体"/>
          <w:sz w:val="36"/>
          <w:szCs w:val="36"/>
        </w:rPr>
        <w:t>伪假票据应急服务申请书</w:t>
      </w:r>
    </w:p>
    <w:p>
      <w:pPr>
        <w:pStyle w:val="34"/>
        <w:spacing w:line="560" w:lineRule="exact"/>
        <w:ind w:left="1707" w:firstLine="180" w:firstLineChars="50"/>
        <w:rPr>
          <w:rFonts w:ascii="黑体" w:hAnsi="黑体" w:eastAsia="黑体" w:cs="黑体"/>
          <w:sz w:val="36"/>
          <w:szCs w:val="36"/>
        </w:rPr>
      </w:pPr>
    </w:p>
    <w:tbl>
      <w:tblPr>
        <w:tblStyle w:val="18"/>
        <w:tblW w:w="90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3118"/>
        <w:gridCol w:w="1622"/>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9099" w:type="dxa"/>
            <w:gridSpan w:val="4"/>
            <w:tcBorders>
              <w:top w:val="single" w:color="auto" w:sz="8" w:space="0"/>
              <w:left w:val="single" w:color="auto" w:sz="8" w:space="0"/>
              <w:right w:val="single" w:color="auto" w:sz="8" w:space="0"/>
            </w:tcBorders>
            <w:shd w:val="clear" w:color="auto" w:fill="auto"/>
            <w:vAlign w:val="center"/>
          </w:tcPr>
          <w:p>
            <w:pPr>
              <w:jc w:val="center"/>
              <w:rPr>
                <w:rFonts w:ascii="仿宋" w:hAnsi="仿宋" w:eastAsia="仿宋"/>
                <w:b/>
                <w:sz w:val="28"/>
                <w:szCs w:val="28"/>
              </w:rPr>
            </w:pPr>
            <w:r>
              <w:rPr>
                <w:rFonts w:hint="eastAsia" w:ascii="仿宋" w:hAnsi="仿宋" w:eastAsia="仿宋"/>
                <w:b/>
                <w:sz w:val="28"/>
                <w:szCs w:val="28"/>
              </w:rPr>
              <w:t>申 请 单 位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exact"/>
          <w:jc w:val="center"/>
        </w:trPr>
        <w:tc>
          <w:tcPr>
            <w:tcW w:w="1957" w:type="dxa"/>
            <w:tcBorders>
              <w:left w:val="single" w:color="auto" w:sz="8" w:space="0"/>
            </w:tcBorders>
            <w:vAlign w:val="center"/>
          </w:tcPr>
          <w:p>
            <w:pPr>
              <w:jc w:val="center"/>
              <w:rPr>
                <w:rFonts w:ascii="仿宋" w:hAnsi="仿宋" w:eastAsia="仿宋"/>
                <w:sz w:val="28"/>
                <w:szCs w:val="28"/>
              </w:rPr>
            </w:pPr>
            <w:r>
              <w:rPr>
                <w:rFonts w:hint="eastAsia" w:ascii="仿宋" w:hAnsi="仿宋" w:eastAsia="仿宋"/>
                <w:sz w:val="28"/>
                <w:szCs w:val="28"/>
              </w:rPr>
              <w:t>申请单位</w:t>
            </w:r>
          </w:p>
        </w:tc>
        <w:tc>
          <w:tcPr>
            <w:tcW w:w="3118" w:type="dxa"/>
            <w:vAlign w:val="center"/>
          </w:tcPr>
          <w:p>
            <w:pPr>
              <w:rPr>
                <w:rFonts w:ascii="仿宋" w:hAnsi="仿宋" w:eastAsia="仿宋"/>
                <w:sz w:val="28"/>
                <w:szCs w:val="28"/>
              </w:rPr>
            </w:pPr>
          </w:p>
        </w:tc>
        <w:tc>
          <w:tcPr>
            <w:tcW w:w="1622" w:type="dxa"/>
            <w:vAlign w:val="center"/>
          </w:tcPr>
          <w:p>
            <w:pPr>
              <w:jc w:val="center"/>
              <w:rPr>
                <w:rFonts w:ascii="仿宋" w:hAnsi="仿宋" w:eastAsia="仿宋"/>
                <w:sz w:val="28"/>
                <w:szCs w:val="28"/>
              </w:rPr>
            </w:pPr>
            <w:r>
              <w:rPr>
                <w:rFonts w:hint="eastAsia" w:ascii="仿宋" w:hAnsi="仿宋" w:eastAsia="仿宋"/>
                <w:sz w:val="28"/>
                <w:szCs w:val="28"/>
              </w:rPr>
              <w:t>联系人</w:t>
            </w:r>
          </w:p>
        </w:tc>
        <w:tc>
          <w:tcPr>
            <w:tcW w:w="2402" w:type="dxa"/>
            <w:tcBorders>
              <w:right w:val="single" w:color="auto" w:sz="8" w:space="0"/>
            </w:tcBorders>
            <w:vAlign w:val="center"/>
          </w:tcPr>
          <w:p>
            <w:pPr>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957" w:type="dxa"/>
            <w:tcBorders>
              <w:left w:val="single" w:color="auto" w:sz="8" w:space="0"/>
              <w:bottom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固话及手机</w:t>
            </w:r>
          </w:p>
        </w:tc>
        <w:tc>
          <w:tcPr>
            <w:tcW w:w="3118" w:type="dxa"/>
            <w:tcBorders>
              <w:bottom w:val="single" w:color="auto" w:sz="4" w:space="0"/>
              <w:right w:val="single" w:color="auto" w:sz="4" w:space="0"/>
            </w:tcBorders>
            <w:vAlign w:val="center"/>
          </w:tcPr>
          <w:p>
            <w:pPr>
              <w:rPr>
                <w:rFonts w:ascii="仿宋" w:hAnsi="仿宋" w:eastAsia="仿宋"/>
                <w:sz w:val="28"/>
                <w:szCs w:val="28"/>
              </w:rPr>
            </w:pPr>
          </w:p>
        </w:tc>
        <w:tc>
          <w:tcPr>
            <w:tcW w:w="1622" w:type="dxa"/>
            <w:tcBorders>
              <w:left w:val="single" w:color="auto" w:sz="4" w:space="0"/>
              <w:bottom w:val="single" w:color="auto" w:sz="4" w:space="0"/>
              <w:right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邮 箱</w:t>
            </w:r>
          </w:p>
        </w:tc>
        <w:tc>
          <w:tcPr>
            <w:tcW w:w="2402" w:type="dxa"/>
            <w:tcBorders>
              <w:left w:val="single" w:color="auto" w:sz="4" w:space="0"/>
              <w:bottom w:val="single" w:color="auto" w:sz="4" w:space="0"/>
              <w:right w:val="single" w:color="auto" w:sz="8" w:space="0"/>
            </w:tcBorders>
            <w:vAlign w:val="center"/>
          </w:tcPr>
          <w:p>
            <w:pPr>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9099" w:type="dxa"/>
            <w:gridSpan w:val="4"/>
            <w:tcBorders>
              <w:left w:val="single" w:color="auto" w:sz="8" w:space="0"/>
              <w:bottom w:val="single" w:color="auto" w:sz="4" w:space="0"/>
              <w:right w:val="single" w:color="auto" w:sz="8" w:space="0"/>
            </w:tcBorders>
            <w:vAlign w:val="center"/>
          </w:tcPr>
          <w:p>
            <w:pPr>
              <w:jc w:val="center"/>
              <w:rPr>
                <w:rFonts w:ascii="仿宋" w:hAnsi="仿宋" w:eastAsia="仿宋"/>
                <w:sz w:val="28"/>
                <w:szCs w:val="28"/>
              </w:rPr>
            </w:pPr>
            <w:r>
              <w:rPr>
                <w:rFonts w:hint="eastAsia" w:ascii="仿宋" w:hAnsi="仿宋" w:eastAsia="仿宋"/>
                <w:b/>
                <w:sz w:val="28"/>
                <w:szCs w:val="28"/>
              </w:rPr>
              <w:t>申 请 应 急 服 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5" w:hRule="exact"/>
          <w:jc w:val="center"/>
        </w:trPr>
        <w:tc>
          <w:tcPr>
            <w:tcW w:w="1957" w:type="dxa"/>
            <w:tcBorders>
              <w:left w:val="single" w:color="auto" w:sz="8" w:space="0"/>
              <w:bottom w:val="single" w:color="auto" w:sz="4" w:space="0"/>
            </w:tcBorders>
            <w:vAlign w:val="center"/>
          </w:tcPr>
          <w:p>
            <w:pPr>
              <w:jc w:val="center"/>
              <w:rPr>
                <w:rFonts w:ascii="仿宋" w:hAnsi="仿宋" w:eastAsia="仿宋"/>
                <w:sz w:val="28"/>
                <w:szCs w:val="28"/>
              </w:rPr>
            </w:pPr>
            <w:r>
              <w:rPr>
                <w:rFonts w:hint="eastAsia" w:ascii="仿宋" w:hAnsi="仿宋" w:eastAsia="仿宋"/>
                <w:sz w:val="28"/>
                <w:szCs w:val="28"/>
              </w:rPr>
              <w:t>申请内容</w:t>
            </w:r>
          </w:p>
        </w:tc>
        <w:tc>
          <w:tcPr>
            <w:tcW w:w="7142" w:type="dxa"/>
            <w:gridSpan w:val="3"/>
            <w:tcBorders>
              <w:bottom w:val="single" w:color="auto" w:sz="4" w:space="0"/>
              <w:right w:val="single" w:color="auto" w:sz="8" w:space="0"/>
            </w:tcBorders>
            <w:vAlign w:val="center"/>
          </w:tcPr>
          <w:p>
            <w:pPr>
              <w:spacing w:line="15" w:lineRule="auto"/>
              <w:jc w:val="left"/>
              <w:rPr>
                <w:rFonts w:ascii="仿宋" w:hAnsi="仿宋" w:eastAsia="仿宋"/>
                <w:sz w:val="28"/>
                <w:szCs w:val="28"/>
              </w:rPr>
            </w:pPr>
            <w:r>
              <w:rPr>
                <w:rFonts w:hint="eastAsia" w:ascii="宋体" w:hAnsi="宋体"/>
                <w:sz w:val="28"/>
                <w:szCs w:val="28"/>
              </w:rPr>
              <w:t>□</w:t>
            </w:r>
            <w:r>
              <w:rPr>
                <w:rFonts w:hint="eastAsia" w:ascii="仿宋" w:hAnsi="仿宋" w:eastAsia="仿宋"/>
                <w:sz w:val="28"/>
                <w:szCs w:val="28"/>
              </w:rPr>
              <w:t xml:space="preserve">票据锁定（附票据清单） </w:t>
            </w:r>
          </w:p>
          <w:p>
            <w:pPr>
              <w:spacing w:line="15" w:lineRule="auto"/>
              <w:jc w:val="left"/>
              <w:rPr>
                <w:rFonts w:ascii="仿宋" w:hAnsi="仿宋" w:eastAsia="仿宋"/>
                <w:sz w:val="28"/>
                <w:szCs w:val="28"/>
              </w:rPr>
            </w:pPr>
            <w:r>
              <w:rPr>
                <w:rFonts w:hint="eastAsia" w:ascii="宋体" w:hAnsi="宋体"/>
                <w:sz w:val="28"/>
                <w:szCs w:val="28"/>
              </w:rPr>
              <w:t>□</w:t>
            </w:r>
            <w:r>
              <w:rPr>
                <w:rFonts w:hint="eastAsia" w:ascii="仿宋" w:hAnsi="仿宋" w:eastAsia="仿宋"/>
                <w:sz w:val="28"/>
                <w:szCs w:val="28"/>
              </w:rPr>
              <w:t>票据解锁（附票据清单）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jc w:val="center"/>
        </w:trPr>
        <w:tc>
          <w:tcPr>
            <w:tcW w:w="1957" w:type="dxa"/>
            <w:tcBorders>
              <w:left w:val="single" w:color="auto" w:sz="8" w:space="0"/>
              <w:bottom w:val="single" w:color="auto" w:sz="4" w:space="0"/>
              <w:right w:val="single" w:color="auto" w:sz="4" w:space="0"/>
            </w:tcBorders>
            <w:vAlign w:val="center"/>
          </w:tcPr>
          <w:p>
            <w:pPr>
              <w:ind w:firstLine="280" w:firstLineChars="100"/>
              <w:rPr>
                <w:rFonts w:ascii="仿宋" w:hAnsi="仿宋" w:eastAsia="仿宋"/>
                <w:sz w:val="28"/>
                <w:szCs w:val="28"/>
              </w:rPr>
            </w:pPr>
            <w:r>
              <w:rPr>
                <w:rFonts w:hint="eastAsia" w:ascii="仿宋" w:hAnsi="仿宋" w:eastAsia="仿宋"/>
                <w:sz w:val="28"/>
                <w:szCs w:val="28"/>
              </w:rPr>
              <w:t>申请理由</w:t>
            </w:r>
          </w:p>
          <w:p>
            <w:pPr>
              <w:snapToGrid w:val="0"/>
              <w:spacing w:line="360" w:lineRule="auto"/>
              <w:ind w:right="779" w:firstLine="3973" w:firstLineChars="1419"/>
              <w:jc w:val="left"/>
              <w:rPr>
                <w:rFonts w:ascii="仿宋" w:hAnsi="仿宋" w:eastAsia="仿宋"/>
                <w:sz w:val="28"/>
                <w:szCs w:val="28"/>
              </w:rPr>
            </w:pPr>
          </w:p>
        </w:tc>
        <w:tc>
          <w:tcPr>
            <w:tcW w:w="7142" w:type="dxa"/>
            <w:gridSpan w:val="3"/>
            <w:tcBorders>
              <w:left w:val="single" w:color="auto" w:sz="4" w:space="0"/>
              <w:bottom w:val="single" w:color="auto" w:sz="4" w:space="0"/>
              <w:right w:val="single" w:color="auto" w:sz="8" w:space="0"/>
            </w:tcBorders>
          </w:tcPr>
          <w:p>
            <w:pPr>
              <w:snapToGrid w:val="0"/>
              <w:ind w:right="777" w:firstLine="560" w:firstLineChars="200"/>
              <w:jc w:val="left"/>
              <w:rPr>
                <w:rFonts w:ascii="仿宋" w:hAnsi="仿宋" w:eastAsia="仿宋"/>
                <w:sz w:val="28"/>
                <w:szCs w:val="28"/>
              </w:rPr>
            </w:pPr>
          </w:p>
          <w:p>
            <w:pPr>
              <w:snapToGrid w:val="0"/>
              <w:ind w:right="777" w:firstLine="560" w:firstLineChars="200"/>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8" w:hRule="atLeast"/>
          <w:jc w:val="center"/>
        </w:trPr>
        <w:tc>
          <w:tcPr>
            <w:tcW w:w="9099" w:type="dxa"/>
            <w:gridSpan w:val="4"/>
            <w:tcBorders>
              <w:top w:val="single" w:color="auto" w:sz="4" w:space="0"/>
              <w:left w:val="single" w:color="auto" w:sz="8" w:space="0"/>
              <w:bottom w:val="single" w:color="auto" w:sz="8" w:space="0"/>
              <w:right w:val="single" w:color="auto" w:sz="8" w:space="0"/>
            </w:tcBorders>
            <w:vAlign w:val="center"/>
          </w:tcPr>
          <w:p>
            <w:pPr>
              <w:snapToGrid w:val="0"/>
              <w:ind w:right="777" w:firstLine="560" w:firstLineChars="200"/>
              <w:jc w:val="left"/>
              <w:rPr>
                <w:rFonts w:ascii="仿宋" w:hAnsi="仿宋" w:eastAsia="仿宋"/>
                <w:sz w:val="28"/>
                <w:szCs w:val="28"/>
              </w:rPr>
            </w:pPr>
            <w:r>
              <w:rPr>
                <w:rFonts w:hint="eastAsia" w:ascii="仿宋" w:hAnsi="仿宋" w:eastAsia="仿宋"/>
                <w:sz w:val="28"/>
                <w:szCs w:val="28"/>
              </w:rPr>
              <w:t>我单位保证申请资料真实、准确、完整，承担因票据锁定/票据</w:t>
            </w:r>
            <w:r>
              <w:rPr>
                <w:rFonts w:ascii="仿宋" w:hAnsi="仿宋" w:eastAsia="仿宋"/>
                <w:sz w:val="28"/>
                <w:szCs w:val="28"/>
              </w:rPr>
              <w:t>解锁</w:t>
            </w:r>
            <w:r>
              <w:rPr>
                <w:rFonts w:hint="eastAsia" w:ascii="仿宋" w:hAnsi="仿宋" w:eastAsia="仿宋"/>
                <w:sz w:val="28"/>
                <w:szCs w:val="28"/>
              </w:rPr>
              <w:t>引起的一切风险和责任。</w:t>
            </w:r>
          </w:p>
          <w:p>
            <w:pPr>
              <w:snapToGrid w:val="0"/>
              <w:ind w:right="777" w:firstLine="560" w:firstLineChars="200"/>
              <w:jc w:val="left"/>
              <w:rPr>
                <w:rFonts w:ascii="仿宋" w:hAnsi="仿宋" w:eastAsia="仿宋"/>
                <w:sz w:val="28"/>
                <w:szCs w:val="28"/>
              </w:rPr>
            </w:pPr>
          </w:p>
          <w:p>
            <w:pPr>
              <w:snapToGrid w:val="0"/>
              <w:ind w:right="777" w:firstLine="560" w:firstLineChars="200"/>
              <w:jc w:val="left"/>
              <w:rPr>
                <w:rFonts w:ascii="仿宋" w:hAnsi="仿宋" w:eastAsia="仿宋"/>
                <w:sz w:val="28"/>
                <w:szCs w:val="28"/>
              </w:rPr>
            </w:pPr>
          </w:p>
          <w:p>
            <w:pPr>
              <w:snapToGrid w:val="0"/>
              <w:spacing w:line="360" w:lineRule="auto"/>
              <w:ind w:right="1960" w:firstLine="3973" w:firstLineChars="1419"/>
              <w:jc w:val="left"/>
              <w:rPr>
                <w:rFonts w:ascii="仿宋" w:hAnsi="仿宋" w:eastAsia="仿宋"/>
                <w:sz w:val="28"/>
                <w:szCs w:val="28"/>
              </w:rPr>
            </w:pPr>
            <w:r>
              <w:rPr>
                <w:rFonts w:hint="eastAsia" w:ascii="仿宋" w:hAnsi="仿宋" w:eastAsia="仿宋"/>
                <w:sz w:val="28"/>
                <w:szCs w:val="28"/>
              </w:rPr>
              <w:t>单位公章：</w:t>
            </w:r>
          </w:p>
          <w:p>
            <w:pPr>
              <w:snapToGrid w:val="0"/>
              <w:spacing w:line="360" w:lineRule="auto"/>
              <w:ind w:right="779" w:firstLine="3973" w:firstLineChars="1419"/>
              <w:jc w:val="left"/>
              <w:rPr>
                <w:rFonts w:ascii="仿宋" w:hAnsi="仿宋" w:eastAsia="仿宋"/>
                <w:sz w:val="28"/>
                <w:szCs w:val="28"/>
              </w:rPr>
            </w:pPr>
            <w:r>
              <w:rPr>
                <w:rFonts w:hint="eastAsia" w:ascii="仿宋" w:hAnsi="仿宋" w:eastAsia="仿宋"/>
                <w:sz w:val="28"/>
                <w:szCs w:val="28"/>
              </w:rPr>
              <w:t>申请日期：  年   月   日</w:t>
            </w:r>
          </w:p>
        </w:tc>
      </w:tr>
    </w:tbl>
    <w:p>
      <w:pPr>
        <w:pStyle w:val="40"/>
        <w:ind w:firstLine="0" w:firstLineChars="0"/>
        <w:rPr>
          <w:rFonts w:ascii="仿宋" w:hAnsi="仿宋" w:cs="仿宋"/>
        </w:rPr>
      </w:pPr>
      <w:r>
        <w:rPr>
          <w:rFonts w:hint="eastAsia" w:ascii="仿宋" w:hAnsi="仿宋" w:cs="仿宋"/>
        </w:rPr>
        <w:t>附</w:t>
      </w:r>
    </w:p>
    <w:p>
      <w:pPr>
        <w:pStyle w:val="40"/>
        <w:ind w:firstLine="0" w:firstLineChars="0"/>
        <w:jc w:val="center"/>
        <w:rPr>
          <w:rFonts w:ascii="仿宋" w:hAnsi="仿宋" w:cs="仿宋"/>
        </w:rPr>
      </w:pPr>
      <w:r>
        <w:rPr>
          <w:rFonts w:hint="eastAsia" w:ascii="仿宋" w:hAnsi="仿宋" w:cs="仿宋"/>
        </w:rPr>
        <w:t>票据清单</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21"/>
        <w:gridCol w:w="922"/>
        <w:gridCol w:w="922"/>
        <w:gridCol w:w="922"/>
        <w:gridCol w:w="922"/>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40"/>
              <w:snapToGrid w:val="0"/>
              <w:spacing w:line="240" w:lineRule="auto"/>
              <w:ind w:firstLine="0" w:firstLineChars="0"/>
              <w:jc w:val="center"/>
              <w:rPr>
                <w:rFonts w:ascii="仿宋" w:hAnsi="仿宋" w:cs="仿宋"/>
                <w:sz w:val="21"/>
                <w:szCs w:val="21"/>
              </w:rPr>
            </w:pPr>
            <w:r>
              <w:rPr>
                <w:rFonts w:ascii="仿宋" w:hAnsi="仿宋" w:cs="仿宋"/>
              </w:rPr>
              <w:br w:type="page"/>
            </w:r>
            <w:r>
              <w:rPr>
                <w:rFonts w:hint="eastAsia" w:ascii="仿宋" w:hAnsi="仿宋" w:cs="仿宋"/>
                <w:sz w:val="21"/>
                <w:szCs w:val="21"/>
              </w:rPr>
              <w:t>票号</w:t>
            </w:r>
          </w:p>
        </w:tc>
        <w:tc>
          <w:tcPr>
            <w:tcW w:w="921"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金额</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出票日</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到期日</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出票人</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承兑人</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承兑人账号</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承兑人开户行行号</w:t>
            </w:r>
          </w:p>
        </w:tc>
        <w:tc>
          <w:tcPr>
            <w:tcW w:w="922" w:type="dxa"/>
            <w:vAlign w:val="center"/>
          </w:tcPr>
          <w:p>
            <w:pPr>
              <w:pStyle w:val="40"/>
              <w:snapToGrid w:val="0"/>
              <w:spacing w:line="240" w:lineRule="auto"/>
              <w:ind w:firstLine="0" w:firstLineChars="0"/>
              <w:jc w:val="center"/>
              <w:rPr>
                <w:rFonts w:ascii="仿宋" w:hAnsi="仿宋" w:cs="仿宋"/>
                <w:sz w:val="21"/>
                <w:szCs w:val="21"/>
              </w:rPr>
            </w:pPr>
            <w:r>
              <w:rPr>
                <w:rFonts w:hint="eastAsia" w:ascii="仿宋" w:hAnsi="仿宋" w:cs="仿宋"/>
                <w:sz w:val="21"/>
                <w:szCs w:val="21"/>
              </w:rPr>
              <w:t>收款人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40"/>
              <w:snapToGrid w:val="0"/>
              <w:spacing w:line="240" w:lineRule="auto"/>
              <w:ind w:firstLine="0" w:firstLineChars="0"/>
              <w:jc w:val="center"/>
              <w:rPr>
                <w:rFonts w:ascii="仿宋" w:hAnsi="仿宋" w:cs="仿宋"/>
                <w:sz w:val="21"/>
                <w:szCs w:val="21"/>
              </w:rPr>
            </w:pPr>
          </w:p>
        </w:tc>
        <w:tc>
          <w:tcPr>
            <w:tcW w:w="921"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40"/>
              <w:snapToGrid w:val="0"/>
              <w:spacing w:line="240" w:lineRule="auto"/>
              <w:ind w:firstLine="0" w:firstLineChars="0"/>
              <w:jc w:val="center"/>
              <w:rPr>
                <w:rFonts w:ascii="仿宋" w:hAnsi="仿宋" w:cs="仿宋"/>
                <w:sz w:val="21"/>
                <w:szCs w:val="21"/>
              </w:rPr>
            </w:pPr>
          </w:p>
        </w:tc>
        <w:tc>
          <w:tcPr>
            <w:tcW w:w="921"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c>
          <w:tcPr>
            <w:tcW w:w="922" w:type="dxa"/>
            <w:vAlign w:val="center"/>
          </w:tcPr>
          <w:p>
            <w:pPr>
              <w:pStyle w:val="40"/>
              <w:snapToGrid w:val="0"/>
              <w:spacing w:line="240" w:lineRule="auto"/>
              <w:ind w:firstLine="0" w:firstLineChars="0"/>
              <w:jc w:val="center"/>
              <w:rPr>
                <w:rFonts w:ascii="仿宋" w:hAnsi="仿宋" w:cs="仿宋"/>
                <w:sz w:val="21"/>
                <w:szCs w:val="21"/>
              </w:rPr>
            </w:pPr>
          </w:p>
        </w:tc>
      </w:tr>
    </w:tbl>
    <w:p>
      <w:pPr>
        <w:rPr>
          <w:lang w:bidi="ar"/>
        </w:rPr>
      </w:pP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2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2"/>
                            </w:rPr>
                          </w:pPr>
                          <w:r>
                            <w:rPr>
                              <w:rStyle w:val="22"/>
                            </w:rPr>
                            <w:fldChar w:fldCharType="begin"/>
                          </w:r>
                          <w:r>
                            <w:rPr>
                              <w:rStyle w:val="22"/>
                            </w:rPr>
                            <w:instrText xml:space="preserve">PAGE  </w:instrText>
                          </w:r>
                          <w:r>
                            <w:rPr>
                              <w:rStyle w:val="22"/>
                            </w:rPr>
                            <w:fldChar w:fldCharType="separate"/>
                          </w:r>
                          <w:r>
                            <w:rPr>
                              <w:rStyle w:val="22"/>
                            </w:rPr>
                            <w:t>7</w:t>
                          </w:r>
                          <w:r>
                            <w:rPr>
                              <w:rStyle w:val="22"/>
                            </w:rPr>
                            <w:fldChar w:fldCharType="end"/>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1"/>
                      <w:rPr>
                        <w:rStyle w:val="22"/>
                      </w:rPr>
                    </w:pPr>
                    <w:r>
                      <w:rPr>
                        <w:rStyle w:val="22"/>
                      </w:rPr>
                      <w:fldChar w:fldCharType="begin"/>
                    </w:r>
                    <w:r>
                      <w:rPr>
                        <w:rStyle w:val="22"/>
                      </w:rPr>
                      <w:instrText xml:space="preserve">PAGE  </w:instrText>
                    </w:r>
                    <w:r>
                      <w:rPr>
                        <w:rStyle w:val="22"/>
                      </w:rPr>
                      <w:fldChar w:fldCharType="separate"/>
                    </w:r>
                    <w:r>
                      <w:rPr>
                        <w:rStyle w:val="22"/>
                      </w:rPr>
                      <w:t>7</w:t>
                    </w:r>
                    <w:r>
                      <w:rPr>
                        <w:rStyle w:val="22"/>
                      </w:rPr>
                      <w:fldChar w:fldCharType="end"/>
                    </w: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27</w:t>
                    </w:r>
                    <w:r>
                      <w:fldChar w:fldCharType="end"/>
                    </w:r>
                  </w:p>
                </w:txbxContent>
              </v:textbox>
            </v:shape>
          </w:pict>
        </mc:Fallback>
      </mc:AlternateContent>
    </w:r>
    <w:sdt>
      <w:sdtPr>
        <w:id w:val="-689219707"/>
      </w:sdtPr>
      <w:sdtContent/>
    </w:sdt>
  </w:p>
  <w:p>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fldChar w:fldCharType="begin"/>
                          </w:r>
                          <w:r>
                            <w:instrText xml:space="preserve"> PAGE  \* MERGEFORMAT </w:instrText>
                          </w:r>
                          <w:r>
                            <w:fldChar w:fldCharType="separate"/>
                          </w:r>
                          <w:r>
                            <w:t>1</w:t>
                          </w:r>
                          <w: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11"/>
                      <w:jc w:val="center"/>
                    </w:pPr>
                    <w:r>
                      <w:fldChar w:fldCharType="begin"/>
                    </w:r>
                    <w:r>
                      <w:instrText xml:space="preserve"> PAGE  \* MERGEFORMAT </w:instrText>
                    </w:r>
                    <w:r>
                      <w:fldChar w:fldCharType="separate"/>
                    </w:r>
                    <w:r>
                      <w:t>1</w:t>
                    </w:r>
                    <w:r>
                      <w:fldChar w:fldCharType="end"/>
                    </w:r>
                  </w:p>
                  <w:p/>
                </w:txbxContent>
              </v:textbox>
            </v:shape>
          </w:pict>
        </mc:Fallback>
      </mc:AlternateContent>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tabs>
          <w:tab w:val="left" w:pos="2696"/>
        </w:tabs>
        <w:snapToGrid w:val="0"/>
        <w:ind w:firstLine="420" w:firstLineChars="200"/>
      </w:pPr>
      <w:r>
        <w:rPr>
          <w:rStyle w:val="25"/>
        </w:rPr>
        <w:footnoteRef/>
      </w:r>
      <w:r>
        <w:t xml:space="preserve"> </w:t>
      </w:r>
      <w:r>
        <w:rPr>
          <w:rFonts w:hint="eastAsia"/>
        </w:rPr>
        <w:t>本指南所称的业务规则，指票交所已经发布的和日后不定期发布的各类业务规则，包括但不限于规则细则、管理办法、操作规程、通知公告、业务指南、风险提示等。票交所门户网站和票据业务系统是票交所发布业务规则的官方渠道。</w:t>
      </w:r>
    </w:p>
  </w:footnote>
  <w:footnote w:id="1">
    <w:p>
      <w:pPr>
        <w:pStyle w:val="14"/>
        <w:snapToGrid w:val="0"/>
        <w:rPr>
          <w:rFonts w:hint="eastAsia" w:eastAsiaTheme="minorEastAsia"/>
          <w:lang w:eastAsia="zh-CN"/>
        </w:rPr>
      </w:pPr>
      <w:r>
        <w:rPr>
          <w:rStyle w:val="25"/>
        </w:rPr>
        <w:footnoteRef/>
      </w:r>
      <w:r>
        <w:t xml:space="preserve"> </w:t>
      </w:r>
      <w:r>
        <w:rPr>
          <w:rFonts w:hint="eastAsia"/>
          <w:lang w:eastAsia="zh-CN"/>
        </w:rPr>
        <w:t>对供应链平台账户的相关控制功能暂未上线，相关功能上线后方可使用。</w:t>
      </w:r>
    </w:p>
  </w:footnote>
  <w:footnote w:id="2">
    <w:p>
      <w:pPr>
        <w:pStyle w:val="14"/>
        <w:snapToGrid w:val="0"/>
        <w:rPr>
          <w:rFonts w:hint="eastAsia"/>
        </w:rPr>
      </w:pPr>
      <w:r>
        <w:rPr>
          <w:rStyle w:val="25"/>
        </w:rPr>
        <w:footnoteRef/>
      </w:r>
      <w:r>
        <w:t xml:space="preserve"> </w:t>
      </w:r>
      <w:r>
        <w:rPr>
          <w:rFonts w:hint="eastAsia" w:asciiTheme="minorHAnsi" w:hAnsiTheme="minorHAnsi" w:eastAsiaTheme="minorEastAsia" w:cstheme="minorBidi"/>
          <w:sz w:val="18"/>
          <w:szCs w:val="24"/>
          <w:lang w:eastAsia="zh-CN"/>
        </w:rPr>
        <w:t>财务公司承兑汇票分类自新《</w:t>
      </w:r>
      <w:r>
        <w:rPr>
          <w:rFonts w:hint="eastAsia" w:asciiTheme="minorHAnsi" w:hAnsiTheme="minorHAnsi" w:eastAsiaTheme="minorEastAsia" w:cstheme="minorBidi"/>
          <w:sz w:val="18"/>
          <w:szCs w:val="24"/>
          <w:lang w:eastAsia="zh-CN" w:bidi="ar"/>
        </w:rPr>
        <w:t>商业汇票承兑、贴现与再贴现管理办法》</w:t>
      </w:r>
      <w:r>
        <w:rPr>
          <w:rFonts w:hint="eastAsia" w:asciiTheme="minorHAnsi" w:hAnsiTheme="minorHAnsi" w:eastAsiaTheme="minorEastAsia" w:cstheme="minorBidi"/>
          <w:sz w:val="18"/>
          <w:szCs w:val="24"/>
          <w:lang w:eastAsia="zh-CN"/>
        </w:rPr>
        <w:t>发布之日起实施</w:t>
      </w:r>
      <w:r>
        <w:rPr>
          <w:rFonts w:hint="eastAsia" w:cstheme="minorBidi"/>
          <w:sz w:val="18"/>
          <w:szCs w:val="24"/>
          <w:lang w:eastAsia="zh-CN"/>
        </w:rPr>
        <w:t>。</w:t>
      </w:r>
    </w:p>
  </w:footnote>
  <w:footnote w:id="3">
    <w:p>
      <w:pPr>
        <w:pStyle w:val="14"/>
        <w:snapToGrid w:val="0"/>
        <w:rPr>
          <w:rFonts w:hint="eastAsia" w:eastAsiaTheme="minorEastAsia"/>
          <w:lang w:val="en-US" w:eastAsia="zh-CN"/>
        </w:rPr>
      </w:pPr>
      <w:r>
        <w:rPr>
          <w:rStyle w:val="25"/>
        </w:rPr>
        <w:footnoteRef/>
      </w:r>
      <w:r>
        <w:t xml:space="preserve"> </w:t>
      </w:r>
      <w:r>
        <w:rPr>
          <w:rFonts w:hint="eastAsia" w:asciiTheme="minorHAnsi" w:hAnsiTheme="minorHAnsi" w:eastAsiaTheme="minorEastAsia" w:cstheme="minorBidi"/>
          <w:sz w:val="18"/>
          <w:szCs w:val="24"/>
          <w:lang w:eastAsia="zh-CN"/>
        </w:rPr>
        <w:t>自新《</w:t>
      </w:r>
      <w:r>
        <w:rPr>
          <w:rFonts w:hint="eastAsia" w:asciiTheme="minorHAnsi" w:hAnsiTheme="minorHAnsi" w:eastAsiaTheme="minorEastAsia" w:cstheme="minorBidi"/>
          <w:sz w:val="18"/>
          <w:szCs w:val="24"/>
          <w:lang w:eastAsia="zh-CN" w:bidi="ar"/>
        </w:rPr>
        <w:t>商业汇票承兑、贴现与再贴现管理办法》</w:t>
      </w:r>
      <w:r>
        <w:rPr>
          <w:rFonts w:hint="eastAsia" w:asciiTheme="minorHAnsi" w:hAnsiTheme="minorHAnsi" w:eastAsiaTheme="minorEastAsia" w:cstheme="minorBidi"/>
          <w:sz w:val="18"/>
          <w:szCs w:val="24"/>
          <w:lang w:eastAsia="zh-CN"/>
        </w:rPr>
        <w:t>发布之日起实施</w:t>
      </w:r>
      <w:r>
        <w:rPr>
          <w:rFonts w:hint="eastAsia" w:cstheme="minorBidi"/>
          <w:sz w:val="18"/>
          <w:szCs w:val="24"/>
          <w:lang w:eastAsia="zh-CN"/>
        </w:rPr>
        <w:t>。</w:t>
      </w:r>
    </w:p>
  </w:footnote>
  <w:footnote w:id="4">
    <w:p>
      <w:pPr>
        <w:pStyle w:val="14"/>
      </w:pPr>
      <w:r>
        <w:rPr>
          <w:rStyle w:val="25"/>
        </w:rPr>
        <w:footnoteRef/>
      </w:r>
      <w:r>
        <w:t xml:space="preserve"> </w:t>
      </w:r>
      <w:r>
        <w:rPr>
          <w:rFonts w:hint="eastAsia"/>
        </w:rPr>
        <w:t>若票据经纪机构未上线票据业务系统线上贴现功能，贴现申请人与贴现机构间的贴现合同适用《上海票据交易所贴现通业务操作规程（试行）》关于贴现合同的相关规定。</w:t>
      </w:r>
    </w:p>
  </w:footnote>
  <w:footnote w:id="5">
    <w:p>
      <w:pPr>
        <w:pStyle w:val="14"/>
      </w:pPr>
      <w:r>
        <w:rPr>
          <w:rStyle w:val="25"/>
        </w:rPr>
        <w:footnoteRef/>
      </w:r>
      <w:r>
        <w:t xml:space="preserve">  </w:t>
      </w:r>
      <w:r>
        <w:rPr>
          <w:rFonts w:hint="eastAsia"/>
        </w:rPr>
        <w:t>意向成交单包括票据经纪机构、供应链平台根据票交所发送的贴现意向成交通知报文参照模板样式生成的线上贴现意向成交单。</w:t>
      </w:r>
    </w:p>
  </w:footnote>
  <w:footnote w:id="6">
    <w:p>
      <w:pPr>
        <w:pStyle w:val="14"/>
      </w:pPr>
      <w:r>
        <w:rPr>
          <w:rStyle w:val="25"/>
        </w:rPr>
        <w:footnoteRef/>
      </w:r>
      <w:r>
        <w:t xml:space="preserve"> </w:t>
      </w:r>
      <w:r>
        <w:rPr>
          <w:rFonts w:hint="eastAsia"/>
        </w:rPr>
        <w:t>该参数当前设置为“否”。</w:t>
      </w:r>
    </w:p>
  </w:footnote>
  <w:footnote w:id="7">
    <w:p>
      <w:pPr>
        <w:pStyle w:val="14"/>
      </w:pPr>
      <w:r>
        <w:rPr>
          <w:rStyle w:val="25"/>
        </w:rPr>
        <w:footnoteRef/>
      </w:r>
      <w:r>
        <w:t xml:space="preserve"> </w:t>
      </w:r>
      <w:r>
        <w:rPr>
          <w:rFonts w:hint="eastAsia"/>
        </w:rPr>
        <w:t>结算交割单包括票据经纪机构、供应链平台根据票交所发送的贴现结算结果通知报文参照模板样式生成的线上贴现结算交割单。</w:t>
      </w:r>
    </w:p>
  </w:footnote>
  <w:footnote w:id="8">
    <w:p>
      <w:pPr>
        <w:numPr>
          <w:ilvl w:val="255"/>
          <w:numId w:val="0"/>
        </w:numPr>
        <w:tabs>
          <w:tab w:val="left" w:pos="2696"/>
        </w:tabs>
        <w:ind w:firstLine="420" w:firstLineChars="200"/>
        <w:rPr>
          <w:sz w:val="20"/>
          <w:szCs w:val="22"/>
          <w:lang w:bidi="ar"/>
        </w:rPr>
      </w:pPr>
      <w:r>
        <w:rPr>
          <w:rStyle w:val="25"/>
        </w:rPr>
        <w:footnoteRef/>
      </w:r>
      <w:r>
        <w:rPr>
          <w:rFonts w:hint="eastAsia"/>
          <w:sz w:val="20"/>
          <w:szCs w:val="22"/>
          <w:lang w:bidi="ar"/>
        </w:rPr>
        <w:t>票据保管机构包括贴现保管机构、保证增信机构、承兑保管机构。</w:t>
      </w:r>
    </w:p>
    <w:p>
      <w:pPr>
        <w:numPr>
          <w:ilvl w:val="255"/>
          <w:numId w:val="0"/>
        </w:numPr>
        <w:tabs>
          <w:tab w:val="left" w:pos="2696"/>
        </w:tabs>
        <w:ind w:firstLine="400" w:firstLineChars="200"/>
        <w:rPr>
          <w:sz w:val="20"/>
          <w:szCs w:val="22"/>
          <w:lang w:bidi="ar"/>
        </w:rPr>
      </w:pPr>
      <w:r>
        <w:rPr>
          <w:rFonts w:hint="eastAsia"/>
          <w:sz w:val="20"/>
          <w:szCs w:val="22"/>
          <w:lang w:bidi="ar"/>
        </w:rPr>
        <w:t>（1）已贴现票据实物由贴入人或同一法人下辖其他机构保管的，保管票据实物的机构为贴现保管机构。</w:t>
      </w:r>
    </w:p>
    <w:p>
      <w:pPr>
        <w:numPr>
          <w:ilvl w:val="255"/>
          <w:numId w:val="0"/>
        </w:numPr>
        <w:tabs>
          <w:tab w:val="left" w:pos="2696"/>
        </w:tabs>
        <w:ind w:firstLine="400" w:firstLineChars="200"/>
        <w:rPr>
          <w:sz w:val="20"/>
          <w:szCs w:val="22"/>
          <w:lang w:bidi="ar"/>
        </w:rPr>
      </w:pPr>
      <w:r>
        <w:rPr>
          <w:rFonts w:hint="eastAsia"/>
          <w:sz w:val="20"/>
          <w:szCs w:val="22"/>
          <w:lang w:bidi="ar"/>
        </w:rPr>
        <w:t>（2）已贴现票据实物由保证增信人保管的，保管票据实物的机构为保证增信人。</w:t>
      </w:r>
    </w:p>
    <w:p>
      <w:pPr>
        <w:numPr>
          <w:ilvl w:val="255"/>
          <w:numId w:val="0"/>
        </w:numPr>
        <w:tabs>
          <w:tab w:val="left" w:pos="2696"/>
        </w:tabs>
        <w:ind w:firstLine="400" w:firstLineChars="200"/>
        <w:rPr>
          <w:sz w:val="20"/>
          <w:szCs w:val="22"/>
        </w:rPr>
      </w:pPr>
      <w:r>
        <w:rPr>
          <w:rFonts w:hint="eastAsia"/>
          <w:sz w:val="20"/>
          <w:szCs w:val="22"/>
          <w:lang w:bidi="ar"/>
        </w:rPr>
        <w:t>（3）已贴现票据实物由付款行或付款人开户行保管的，保管票据实物的机构为承兑保管机构。</w:t>
      </w:r>
    </w:p>
  </w:footnote>
  <w:footnote w:id="9">
    <w:p>
      <w:pPr>
        <w:pStyle w:val="14"/>
        <w:snapToGrid w:val="0"/>
        <w:rPr>
          <w:rFonts w:hint="eastAsia" w:eastAsiaTheme="minorEastAsia"/>
          <w:lang w:eastAsia="zh-CN"/>
        </w:rPr>
      </w:pPr>
      <w:r>
        <w:rPr>
          <w:rStyle w:val="25"/>
        </w:rPr>
        <w:footnoteRef/>
      </w:r>
      <w:r>
        <w:t xml:space="preserve"> </w:t>
      </w:r>
      <w:r>
        <w:rPr>
          <w:rFonts w:hint="eastAsia"/>
          <w:lang w:eastAsia="zh-CN"/>
        </w:rPr>
        <w:t>当前行为人指票据当前的持票人（含出质人）、质权人或当前未签收的业务行为的发起方或接收方。</w:t>
      </w:r>
    </w:p>
  </w:footnote>
  <w:footnote w:id="10">
    <w:p>
      <w:pPr>
        <w:pStyle w:val="14"/>
        <w:rPr>
          <w:rFonts w:hAnsi="宋体" w:cs="宋体"/>
        </w:rPr>
      </w:pPr>
      <w:r>
        <w:rPr>
          <w:rStyle w:val="25"/>
        </w:rPr>
        <w:footnoteRef/>
      </w:r>
      <w:r>
        <w:t xml:space="preserve"> </w:t>
      </w:r>
      <w:r>
        <w:rPr>
          <w:rFonts w:hint="eastAsia"/>
        </w:rPr>
        <w:t>主要信息取自贴现意向成交通知报文中贴现机构信息。其中，交易员和电话需要关联机构参与者交易员信息通知报文，获取相应编号的交易员用户姓名和联系电话，联系电话可为空；参与者代码</w:t>
      </w:r>
      <w:r>
        <w:rPr>
          <w:rFonts w:hint="eastAsia" w:hAnsi="宋体" w:cs="宋体"/>
        </w:rPr>
        <w:t>由9位定长数字组成。无法获取的信息可为空。</w:t>
      </w:r>
    </w:p>
  </w:footnote>
  <w:footnote w:id="11">
    <w:p>
      <w:pPr>
        <w:pStyle w:val="14"/>
      </w:pPr>
      <w:r>
        <w:rPr>
          <w:rStyle w:val="25"/>
        </w:rPr>
        <w:footnoteRef/>
      </w:r>
      <w:r>
        <w:t xml:space="preserve"> </w:t>
      </w:r>
      <w:r>
        <w:rPr>
          <w:rFonts w:hint="eastAsia"/>
        </w:rPr>
        <w:t>机构代码取自贴现意向成交通知报文中经纪机构/平台信息下机构代码，为9位定长数字，机构名称需关联机构参与者信息通知报文，获取相应机构代码的机构参与者全称（中文）。</w:t>
      </w:r>
    </w:p>
  </w:footnote>
  <w:footnote w:id="12">
    <w:p>
      <w:pPr>
        <w:pStyle w:val="14"/>
      </w:pPr>
      <w:r>
        <w:rPr>
          <w:rStyle w:val="25"/>
        </w:rPr>
        <w:footnoteRef/>
      </w:r>
      <w:r>
        <w:t xml:space="preserve"> </w:t>
      </w:r>
      <w:r>
        <w:rPr>
          <w:rFonts w:hint="eastAsia"/>
        </w:rPr>
        <w:t>主要信息取自贴现意向成交通知报文中贴现申请人资金入账账户信息，其中，开户行名称、开户行行号需关联机构参与者信息通知报文，获取相应开户行参与者代码的机构参与者全称（中文）、大额支付系统行号。</w:t>
      </w:r>
    </w:p>
  </w:footnote>
  <w:footnote w:id="13">
    <w:p>
      <w:pPr>
        <w:pStyle w:val="14"/>
      </w:pPr>
      <w:r>
        <w:rPr>
          <w:rStyle w:val="25"/>
        </w:rPr>
        <w:footnoteRef/>
      </w:r>
      <w:r>
        <w:t xml:space="preserve"> </w:t>
      </w:r>
      <w:r>
        <w:rPr>
          <w:rFonts w:hint="eastAsia"/>
        </w:rPr>
        <w:t>主要信息取自贴现结算结果通知报文中资金收款方企业信息，其中开户行名称、开户行行号关联机构参与者信息通知报文，获取相应开户行参与者代码/开户行行号的机构参与者全称（中文）、大额支付系统行号；ECDS票据账户名称可为空；结算方式为线下清算时，资金入账账户信息栏目为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6AF7F"/>
    <w:multiLevelType w:val="singleLevel"/>
    <w:tmpl w:val="82D6AF7F"/>
    <w:lvl w:ilvl="0" w:tentative="0">
      <w:start w:val="1"/>
      <w:numFmt w:val="decimal"/>
      <w:lvlText w:val="%1."/>
      <w:lvlJc w:val="left"/>
      <w:pPr>
        <w:tabs>
          <w:tab w:val="left" w:pos="312"/>
        </w:tabs>
      </w:pPr>
    </w:lvl>
  </w:abstractNum>
  <w:abstractNum w:abstractNumId="1">
    <w:nsid w:val="8A912070"/>
    <w:multiLevelType w:val="singleLevel"/>
    <w:tmpl w:val="8A912070"/>
    <w:lvl w:ilvl="0" w:tentative="0">
      <w:start w:val="1"/>
      <w:numFmt w:val="chineseCounting"/>
      <w:suff w:val="nothing"/>
      <w:lvlText w:val="%1、"/>
      <w:lvlJc w:val="left"/>
      <w:rPr>
        <w:rFonts w:hint="eastAsia"/>
      </w:rPr>
    </w:lvl>
  </w:abstractNum>
  <w:abstractNum w:abstractNumId="2">
    <w:nsid w:val="8E1E311F"/>
    <w:multiLevelType w:val="singleLevel"/>
    <w:tmpl w:val="8E1E311F"/>
    <w:lvl w:ilvl="0" w:tentative="0">
      <w:start w:val="1"/>
      <w:numFmt w:val="bullet"/>
      <w:lvlText w:val=""/>
      <w:lvlJc w:val="left"/>
      <w:pPr>
        <w:ind w:left="420" w:hanging="420"/>
      </w:pPr>
      <w:rPr>
        <w:rFonts w:hint="default" w:ascii="Wingdings" w:hAnsi="Wingdings"/>
      </w:rPr>
    </w:lvl>
  </w:abstractNum>
  <w:abstractNum w:abstractNumId="3">
    <w:nsid w:val="968C1EFD"/>
    <w:multiLevelType w:val="singleLevel"/>
    <w:tmpl w:val="968C1EFD"/>
    <w:lvl w:ilvl="0" w:tentative="0">
      <w:start w:val="1"/>
      <w:numFmt w:val="decimal"/>
      <w:lvlText w:val="%1."/>
      <w:lvlJc w:val="left"/>
      <w:pPr>
        <w:tabs>
          <w:tab w:val="left" w:pos="312"/>
        </w:tabs>
      </w:pPr>
    </w:lvl>
  </w:abstractNum>
  <w:abstractNum w:abstractNumId="4">
    <w:nsid w:val="ADA1763D"/>
    <w:multiLevelType w:val="singleLevel"/>
    <w:tmpl w:val="ADA1763D"/>
    <w:lvl w:ilvl="0" w:tentative="0">
      <w:start w:val="1"/>
      <w:numFmt w:val="decimal"/>
      <w:lvlText w:val="%1."/>
      <w:lvlJc w:val="left"/>
      <w:pPr>
        <w:tabs>
          <w:tab w:val="left" w:pos="312"/>
        </w:tabs>
        <w:ind w:left="630"/>
      </w:pPr>
    </w:lvl>
  </w:abstractNum>
  <w:abstractNum w:abstractNumId="5">
    <w:nsid w:val="B0FD84B1"/>
    <w:multiLevelType w:val="singleLevel"/>
    <w:tmpl w:val="B0FD84B1"/>
    <w:lvl w:ilvl="0" w:tentative="0">
      <w:start w:val="1"/>
      <w:numFmt w:val="decimal"/>
      <w:lvlText w:val="%1."/>
      <w:lvlJc w:val="left"/>
      <w:pPr>
        <w:tabs>
          <w:tab w:val="left" w:pos="312"/>
        </w:tabs>
      </w:pPr>
    </w:lvl>
  </w:abstractNum>
  <w:abstractNum w:abstractNumId="6">
    <w:nsid w:val="BA2034D2"/>
    <w:multiLevelType w:val="singleLevel"/>
    <w:tmpl w:val="BA2034D2"/>
    <w:lvl w:ilvl="0" w:tentative="0">
      <w:start w:val="2"/>
      <w:numFmt w:val="decimal"/>
      <w:suff w:val="nothing"/>
      <w:lvlText w:val="（%1）"/>
      <w:lvlJc w:val="left"/>
    </w:lvl>
  </w:abstractNum>
  <w:abstractNum w:abstractNumId="7">
    <w:nsid w:val="D351D9E2"/>
    <w:multiLevelType w:val="singleLevel"/>
    <w:tmpl w:val="D351D9E2"/>
    <w:lvl w:ilvl="0" w:tentative="0">
      <w:start w:val="4"/>
      <w:numFmt w:val="decimal"/>
      <w:suff w:val="nothing"/>
      <w:lvlText w:val="（%1）"/>
      <w:lvlJc w:val="left"/>
    </w:lvl>
  </w:abstractNum>
  <w:abstractNum w:abstractNumId="8">
    <w:nsid w:val="D767FCD3"/>
    <w:multiLevelType w:val="singleLevel"/>
    <w:tmpl w:val="D767FCD3"/>
    <w:lvl w:ilvl="0" w:tentative="0">
      <w:start w:val="8"/>
      <w:numFmt w:val="decimal"/>
      <w:lvlText w:val="%1."/>
      <w:lvlJc w:val="left"/>
      <w:pPr>
        <w:tabs>
          <w:tab w:val="left" w:pos="312"/>
        </w:tabs>
      </w:pPr>
    </w:lvl>
  </w:abstractNum>
  <w:abstractNum w:abstractNumId="9">
    <w:nsid w:val="DEF8E2FD"/>
    <w:multiLevelType w:val="singleLevel"/>
    <w:tmpl w:val="DEF8E2FD"/>
    <w:lvl w:ilvl="0" w:tentative="0">
      <w:start w:val="1"/>
      <w:numFmt w:val="decimal"/>
      <w:lvlText w:val="%1."/>
      <w:lvlJc w:val="left"/>
      <w:pPr>
        <w:tabs>
          <w:tab w:val="left" w:pos="312"/>
        </w:tabs>
      </w:pPr>
    </w:lvl>
  </w:abstractNum>
  <w:abstractNum w:abstractNumId="10">
    <w:nsid w:val="E15F5D9A"/>
    <w:multiLevelType w:val="singleLevel"/>
    <w:tmpl w:val="E15F5D9A"/>
    <w:lvl w:ilvl="0" w:tentative="0">
      <w:start w:val="1"/>
      <w:numFmt w:val="decimal"/>
      <w:lvlText w:val="%1."/>
      <w:lvlJc w:val="left"/>
      <w:pPr>
        <w:tabs>
          <w:tab w:val="left" w:pos="312"/>
        </w:tabs>
      </w:pPr>
    </w:lvl>
  </w:abstractNum>
  <w:abstractNum w:abstractNumId="11">
    <w:nsid w:val="F7321DFE"/>
    <w:multiLevelType w:val="singleLevel"/>
    <w:tmpl w:val="F7321DFE"/>
    <w:lvl w:ilvl="0" w:tentative="0">
      <w:start w:val="1"/>
      <w:numFmt w:val="decimal"/>
      <w:lvlText w:val="%1."/>
      <w:lvlJc w:val="left"/>
      <w:pPr>
        <w:tabs>
          <w:tab w:val="left" w:pos="312"/>
        </w:tabs>
        <w:ind w:left="-10"/>
      </w:pPr>
    </w:lvl>
  </w:abstractNum>
  <w:abstractNum w:abstractNumId="12">
    <w:nsid w:val="F8BB66C6"/>
    <w:multiLevelType w:val="singleLevel"/>
    <w:tmpl w:val="F8BB66C6"/>
    <w:lvl w:ilvl="0" w:tentative="0">
      <w:start w:val="1"/>
      <w:numFmt w:val="decimal"/>
      <w:lvlText w:val="%1."/>
      <w:lvlJc w:val="left"/>
      <w:pPr>
        <w:tabs>
          <w:tab w:val="left" w:pos="312"/>
        </w:tabs>
      </w:pPr>
    </w:lvl>
  </w:abstractNum>
  <w:abstractNum w:abstractNumId="13">
    <w:nsid w:val="FBD27AB8"/>
    <w:multiLevelType w:val="singleLevel"/>
    <w:tmpl w:val="FBD27AB8"/>
    <w:lvl w:ilvl="0" w:tentative="0">
      <w:start w:val="2"/>
      <w:numFmt w:val="decimal"/>
      <w:suff w:val="nothing"/>
      <w:lvlText w:val="（%1）"/>
      <w:lvlJc w:val="left"/>
    </w:lvl>
  </w:abstractNum>
  <w:abstractNum w:abstractNumId="14">
    <w:nsid w:val="FF32BE4E"/>
    <w:multiLevelType w:val="singleLevel"/>
    <w:tmpl w:val="FF32BE4E"/>
    <w:lvl w:ilvl="0" w:tentative="0">
      <w:start w:val="1"/>
      <w:numFmt w:val="decimal"/>
      <w:lvlText w:val="%1."/>
      <w:lvlJc w:val="left"/>
      <w:pPr>
        <w:tabs>
          <w:tab w:val="left" w:pos="312"/>
        </w:tabs>
      </w:pPr>
    </w:lvl>
  </w:abstractNum>
  <w:abstractNum w:abstractNumId="15">
    <w:nsid w:val="01AA47B8"/>
    <w:multiLevelType w:val="singleLevel"/>
    <w:tmpl w:val="01AA47B8"/>
    <w:lvl w:ilvl="0" w:tentative="0">
      <w:start w:val="1"/>
      <w:numFmt w:val="decimal"/>
      <w:lvlText w:val="%1."/>
      <w:lvlJc w:val="left"/>
      <w:pPr>
        <w:tabs>
          <w:tab w:val="left" w:pos="312"/>
        </w:tabs>
      </w:pPr>
    </w:lvl>
  </w:abstractNum>
  <w:abstractNum w:abstractNumId="16">
    <w:nsid w:val="0E6036BF"/>
    <w:multiLevelType w:val="singleLevel"/>
    <w:tmpl w:val="0E6036BF"/>
    <w:lvl w:ilvl="0" w:tentative="0">
      <w:start w:val="1"/>
      <w:numFmt w:val="decimal"/>
      <w:lvlText w:val="%1."/>
      <w:lvlJc w:val="left"/>
      <w:pPr>
        <w:tabs>
          <w:tab w:val="left" w:pos="312"/>
        </w:tabs>
      </w:pPr>
      <w:rPr>
        <w:rFonts w:hint="default"/>
        <w:b w:val="0"/>
        <w:bCs w:val="0"/>
      </w:rPr>
    </w:lvl>
  </w:abstractNum>
  <w:abstractNum w:abstractNumId="17">
    <w:nsid w:val="13B8460C"/>
    <w:multiLevelType w:val="singleLevel"/>
    <w:tmpl w:val="13B8460C"/>
    <w:lvl w:ilvl="0" w:tentative="0">
      <w:start w:val="1"/>
      <w:numFmt w:val="decimal"/>
      <w:lvlText w:val="%1."/>
      <w:lvlJc w:val="left"/>
      <w:pPr>
        <w:tabs>
          <w:tab w:val="left" w:pos="312"/>
        </w:tabs>
      </w:pPr>
    </w:lvl>
  </w:abstractNum>
  <w:abstractNum w:abstractNumId="18">
    <w:nsid w:val="17661F62"/>
    <w:multiLevelType w:val="singleLevel"/>
    <w:tmpl w:val="17661F62"/>
    <w:lvl w:ilvl="0" w:tentative="0">
      <w:start w:val="1"/>
      <w:numFmt w:val="decimal"/>
      <w:lvlText w:val="%1."/>
      <w:lvlJc w:val="left"/>
      <w:pPr>
        <w:tabs>
          <w:tab w:val="left" w:pos="312"/>
        </w:tabs>
      </w:pPr>
    </w:lvl>
  </w:abstractNum>
  <w:abstractNum w:abstractNumId="19">
    <w:nsid w:val="2831CA74"/>
    <w:multiLevelType w:val="singleLevel"/>
    <w:tmpl w:val="2831CA74"/>
    <w:lvl w:ilvl="0" w:tentative="0">
      <w:start w:val="7"/>
      <w:numFmt w:val="decimal"/>
      <w:lvlText w:val="%1."/>
      <w:lvlJc w:val="left"/>
      <w:pPr>
        <w:tabs>
          <w:tab w:val="left" w:pos="312"/>
        </w:tabs>
      </w:pPr>
    </w:lvl>
  </w:abstractNum>
  <w:abstractNum w:abstractNumId="20">
    <w:nsid w:val="294C0CB8"/>
    <w:multiLevelType w:val="multilevel"/>
    <w:tmpl w:val="294C0CB8"/>
    <w:lvl w:ilvl="0" w:tentative="0">
      <w:start w:val="1"/>
      <w:numFmt w:val="bullet"/>
      <w:lvlText w:val=""/>
      <w:lvlJc w:val="left"/>
      <w:pPr>
        <w:tabs>
          <w:tab w:val="left" w:pos="840"/>
        </w:tabs>
        <w:ind w:left="126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4288400"/>
    <w:multiLevelType w:val="singleLevel"/>
    <w:tmpl w:val="34288400"/>
    <w:lvl w:ilvl="0" w:tentative="0">
      <w:start w:val="1"/>
      <w:numFmt w:val="decimal"/>
      <w:lvlText w:val="%1."/>
      <w:lvlJc w:val="left"/>
      <w:pPr>
        <w:tabs>
          <w:tab w:val="left" w:pos="312"/>
        </w:tabs>
      </w:pPr>
    </w:lvl>
  </w:abstractNum>
  <w:abstractNum w:abstractNumId="22">
    <w:nsid w:val="35D9BDD4"/>
    <w:multiLevelType w:val="singleLevel"/>
    <w:tmpl w:val="35D9BDD4"/>
    <w:lvl w:ilvl="0" w:tentative="0">
      <w:start w:val="1"/>
      <w:numFmt w:val="decimal"/>
      <w:lvlText w:val="%1."/>
      <w:lvlJc w:val="left"/>
      <w:pPr>
        <w:tabs>
          <w:tab w:val="left" w:pos="312"/>
        </w:tabs>
      </w:pPr>
    </w:lvl>
  </w:abstractNum>
  <w:abstractNum w:abstractNumId="23">
    <w:nsid w:val="3969D21D"/>
    <w:multiLevelType w:val="singleLevel"/>
    <w:tmpl w:val="3969D21D"/>
    <w:lvl w:ilvl="0" w:tentative="0">
      <w:start w:val="1"/>
      <w:numFmt w:val="decimal"/>
      <w:lvlText w:val="%1."/>
      <w:lvlJc w:val="left"/>
      <w:pPr>
        <w:tabs>
          <w:tab w:val="left" w:pos="312"/>
        </w:tabs>
      </w:pPr>
      <w:rPr>
        <w:rFonts w:hint="default"/>
        <w:b w:val="0"/>
        <w:bCs w:val="0"/>
      </w:rPr>
    </w:lvl>
  </w:abstractNum>
  <w:abstractNum w:abstractNumId="24">
    <w:nsid w:val="4066BFEA"/>
    <w:multiLevelType w:val="singleLevel"/>
    <w:tmpl w:val="4066BFEA"/>
    <w:lvl w:ilvl="0" w:tentative="0">
      <w:start w:val="1"/>
      <w:numFmt w:val="decimal"/>
      <w:lvlText w:val="%1."/>
      <w:lvlJc w:val="left"/>
      <w:pPr>
        <w:tabs>
          <w:tab w:val="left" w:pos="312"/>
        </w:tabs>
      </w:pPr>
    </w:lvl>
  </w:abstractNum>
  <w:abstractNum w:abstractNumId="25">
    <w:nsid w:val="422F478E"/>
    <w:multiLevelType w:val="singleLevel"/>
    <w:tmpl w:val="422F478E"/>
    <w:lvl w:ilvl="0" w:tentative="0">
      <w:start w:val="1"/>
      <w:numFmt w:val="decimal"/>
      <w:lvlText w:val="%1."/>
      <w:lvlJc w:val="left"/>
      <w:pPr>
        <w:tabs>
          <w:tab w:val="left" w:pos="312"/>
        </w:tabs>
      </w:pPr>
    </w:lvl>
  </w:abstractNum>
  <w:abstractNum w:abstractNumId="26">
    <w:nsid w:val="54C0B8DD"/>
    <w:multiLevelType w:val="singleLevel"/>
    <w:tmpl w:val="54C0B8DD"/>
    <w:lvl w:ilvl="0" w:tentative="0">
      <w:start w:val="1"/>
      <w:numFmt w:val="decimal"/>
      <w:lvlText w:val="%1."/>
      <w:lvlJc w:val="left"/>
      <w:pPr>
        <w:tabs>
          <w:tab w:val="left" w:pos="312"/>
        </w:tabs>
      </w:pPr>
    </w:lvl>
  </w:abstractNum>
  <w:abstractNum w:abstractNumId="27">
    <w:nsid w:val="578BD146"/>
    <w:multiLevelType w:val="singleLevel"/>
    <w:tmpl w:val="578BD146"/>
    <w:lvl w:ilvl="0" w:tentative="0">
      <w:start w:val="1"/>
      <w:numFmt w:val="decimal"/>
      <w:lvlText w:val="%1."/>
      <w:lvlJc w:val="left"/>
      <w:pPr>
        <w:tabs>
          <w:tab w:val="left" w:pos="312"/>
        </w:tabs>
      </w:pPr>
    </w:lvl>
  </w:abstractNum>
  <w:abstractNum w:abstractNumId="28">
    <w:nsid w:val="5794F416"/>
    <w:multiLevelType w:val="singleLevel"/>
    <w:tmpl w:val="5794F416"/>
    <w:lvl w:ilvl="0" w:tentative="0">
      <w:start w:val="1"/>
      <w:numFmt w:val="decimal"/>
      <w:lvlText w:val="%1."/>
      <w:lvlJc w:val="left"/>
      <w:pPr>
        <w:tabs>
          <w:tab w:val="left" w:pos="312"/>
        </w:tabs>
      </w:pPr>
    </w:lvl>
  </w:abstractNum>
  <w:abstractNum w:abstractNumId="29">
    <w:nsid w:val="5ADAC8D3"/>
    <w:multiLevelType w:val="singleLevel"/>
    <w:tmpl w:val="5ADAC8D3"/>
    <w:lvl w:ilvl="0" w:tentative="0">
      <w:start w:val="1"/>
      <w:numFmt w:val="decimal"/>
      <w:lvlText w:val="%1."/>
      <w:lvlJc w:val="left"/>
      <w:pPr>
        <w:tabs>
          <w:tab w:val="left" w:pos="312"/>
        </w:tabs>
      </w:pPr>
    </w:lvl>
  </w:abstractNum>
  <w:abstractNum w:abstractNumId="30">
    <w:nsid w:val="5E37D2FD"/>
    <w:multiLevelType w:val="singleLevel"/>
    <w:tmpl w:val="5E37D2FD"/>
    <w:lvl w:ilvl="0" w:tentative="0">
      <w:start w:val="1"/>
      <w:numFmt w:val="decimal"/>
      <w:lvlText w:val="%1."/>
      <w:lvlJc w:val="left"/>
      <w:pPr>
        <w:tabs>
          <w:tab w:val="left" w:pos="312"/>
        </w:tabs>
      </w:pPr>
    </w:lvl>
  </w:abstractNum>
  <w:abstractNum w:abstractNumId="31">
    <w:nsid w:val="62896C14"/>
    <w:multiLevelType w:val="singleLevel"/>
    <w:tmpl w:val="62896C14"/>
    <w:lvl w:ilvl="0" w:tentative="0">
      <w:start w:val="1"/>
      <w:numFmt w:val="decimal"/>
      <w:suff w:val="nothing"/>
      <w:lvlText w:val="（%1）"/>
      <w:lvlJc w:val="left"/>
    </w:lvl>
  </w:abstractNum>
  <w:abstractNum w:abstractNumId="32">
    <w:nsid w:val="75865412"/>
    <w:multiLevelType w:val="multilevel"/>
    <w:tmpl w:val="75865412"/>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224"/>
        </w:tabs>
        <w:ind w:left="122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2"/>
  </w:num>
  <w:num w:numId="2">
    <w:abstractNumId w:val="14"/>
  </w:num>
  <w:num w:numId="3">
    <w:abstractNumId w:val="12"/>
  </w:num>
  <w:num w:numId="4">
    <w:abstractNumId w:val="25"/>
  </w:num>
  <w:num w:numId="5">
    <w:abstractNumId w:val="18"/>
  </w:num>
  <w:num w:numId="6">
    <w:abstractNumId w:val="9"/>
  </w:num>
  <w:num w:numId="7">
    <w:abstractNumId w:val="20"/>
  </w:num>
  <w:num w:numId="8">
    <w:abstractNumId w:val="15"/>
  </w:num>
  <w:num w:numId="9">
    <w:abstractNumId w:val="21"/>
  </w:num>
  <w:num w:numId="10">
    <w:abstractNumId w:val="11"/>
  </w:num>
  <w:num w:numId="11">
    <w:abstractNumId w:val="19"/>
  </w:num>
  <w:num w:numId="12">
    <w:abstractNumId w:val="8"/>
  </w:num>
  <w:num w:numId="13">
    <w:abstractNumId w:val="22"/>
  </w:num>
  <w:num w:numId="14">
    <w:abstractNumId w:val="27"/>
  </w:num>
  <w:num w:numId="15">
    <w:abstractNumId w:val="26"/>
  </w:num>
  <w:num w:numId="16">
    <w:abstractNumId w:val="16"/>
  </w:num>
  <w:num w:numId="17">
    <w:abstractNumId w:val="23"/>
  </w:num>
  <w:num w:numId="18">
    <w:abstractNumId w:val="28"/>
  </w:num>
  <w:num w:numId="19">
    <w:abstractNumId w:val="4"/>
  </w:num>
  <w:num w:numId="20">
    <w:abstractNumId w:val="6"/>
  </w:num>
  <w:num w:numId="21">
    <w:abstractNumId w:val="3"/>
  </w:num>
  <w:num w:numId="22">
    <w:abstractNumId w:val="24"/>
  </w:num>
  <w:num w:numId="23">
    <w:abstractNumId w:val="7"/>
  </w:num>
  <w:num w:numId="24">
    <w:abstractNumId w:val="29"/>
  </w:num>
  <w:num w:numId="25">
    <w:abstractNumId w:val="13"/>
  </w:num>
  <w:num w:numId="26">
    <w:abstractNumId w:val="17"/>
  </w:num>
  <w:num w:numId="27">
    <w:abstractNumId w:val="30"/>
  </w:num>
  <w:num w:numId="28">
    <w:abstractNumId w:val="5"/>
  </w:num>
  <w:num w:numId="29">
    <w:abstractNumId w:val="31"/>
  </w:num>
  <w:num w:numId="30">
    <w:abstractNumId w:val="10"/>
  </w:num>
  <w:num w:numId="31">
    <w:abstractNumId w:val="0"/>
  </w:num>
  <w:num w:numId="32">
    <w:abstractNumId w:val="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0"/>
  <w:drawingGridVerticalSpacing w:val="156"/>
  <w:noPunctuationKerning w:val="1"/>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4YmE3NzFkNTliNzJmMDQ0NWFlYjlhOTUwMjBhNDUifQ=="/>
  </w:docVars>
  <w:rsids>
    <w:rsidRoot w:val="03DF7332"/>
    <w:rsid w:val="000008FE"/>
    <w:rsid w:val="00003C79"/>
    <w:rsid w:val="00004862"/>
    <w:rsid w:val="00004B32"/>
    <w:rsid w:val="0000577F"/>
    <w:rsid w:val="000102A7"/>
    <w:rsid w:val="0002080B"/>
    <w:rsid w:val="00020EDD"/>
    <w:rsid w:val="0002373C"/>
    <w:rsid w:val="000239E8"/>
    <w:rsid w:val="00023B57"/>
    <w:rsid w:val="00032F52"/>
    <w:rsid w:val="00035DD0"/>
    <w:rsid w:val="00040123"/>
    <w:rsid w:val="000418E0"/>
    <w:rsid w:val="00041B85"/>
    <w:rsid w:val="00041E62"/>
    <w:rsid w:val="000665D6"/>
    <w:rsid w:val="00067069"/>
    <w:rsid w:val="0006744D"/>
    <w:rsid w:val="00081EFC"/>
    <w:rsid w:val="00085D19"/>
    <w:rsid w:val="00087CA6"/>
    <w:rsid w:val="00093B14"/>
    <w:rsid w:val="00093D5E"/>
    <w:rsid w:val="000A0354"/>
    <w:rsid w:val="000A5FA6"/>
    <w:rsid w:val="000B2F9B"/>
    <w:rsid w:val="000B739B"/>
    <w:rsid w:val="000C4F19"/>
    <w:rsid w:val="000D0B16"/>
    <w:rsid w:val="000D3515"/>
    <w:rsid w:val="000D438B"/>
    <w:rsid w:val="000E0297"/>
    <w:rsid w:val="000E0D55"/>
    <w:rsid w:val="000E3DA7"/>
    <w:rsid w:val="000E757A"/>
    <w:rsid w:val="000F2470"/>
    <w:rsid w:val="00102062"/>
    <w:rsid w:val="001106AB"/>
    <w:rsid w:val="0011285D"/>
    <w:rsid w:val="001156C3"/>
    <w:rsid w:val="00117EAB"/>
    <w:rsid w:val="00121CC7"/>
    <w:rsid w:val="00134A64"/>
    <w:rsid w:val="001351A9"/>
    <w:rsid w:val="001543F1"/>
    <w:rsid w:val="00156EE0"/>
    <w:rsid w:val="001637F7"/>
    <w:rsid w:val="00166C9A"/>
    <w:rsid w:val="001847C1"/>
    <w:rsid w:val="00186105"/>
    <w:rsid w:val="00196653"/>
    <w:rsid w:val="001A3C65"/>
    <w:rsid w:val="001B611D"/>
    <w:rsid w:val="001B728A"/>
    <w:rsid w:val="001C21E4"/>
    <w:rsid w:val="001C22CD"/>
    <w:rsid w:val="001C58D6"/>
    <w:rsid w:val="001D16BE"/>
    <w:rsid w:val="001D45DB"/>
    <w:rsid w:val="001E245F"/>
    <w:rsid w:val="001E250D"/>
    <w:rsid w:val="001E4BDE"/>
    <w:rsid w:val="001F0BF2"/>
    <w:rsid w:val="001F3962"/>
    <w:rsid w:val="001F39C6"/>
    <w:rsid w:val="001F5731"/>
    <w:rsid w:val="00201471"/>
    <w:rsid w:val="00205643"/>
    <w:rsid w:val="00205FFE"/>
    <w:rsid w:val="00212ABF"/>
    <w:rsid w:val="00215D57"/>
    <w:rsid w:val="00216C94"/>
    <w:rsid w:val="00224CC5"/>
    <w:rsid w:val="00225A7A"/>
    <w:rsid w:val="00230FB1"/>
    <w:rsid w:val="00237BB7"/>
    <w:rsid w:val="00250790"/>
    <w:rsid w:val="002524AB"/>
    <w:rsid w:val="00256E33"/>
    <w:rsid w:val="002605A7"/>
    <w:rsid w:val="00260A37"/>
    <w:rsid w:val="002615D8"/>
    <w:rsid w:val="00266D16"/>
    <w:rsid w:val="00272DF2"/>
    <w:rsid w:val="00274F03"/>
    <w:rsid w:val="0027589C"/>
    <w:rsid w:val="002774FA"/>
    <w:rsid w:val="00281FB1"/>
    <w:rsid w:val="00284283"/>
    <w:rsid w:val="00284503"/>
    <w:rsid w:val="00293AE3"/>
    <w:rsid w:val="002A5C64"/>
    <w:rsid w:val="002B0479"/>
    <w:rsid w:val="002B30FB"/>
    <w:rsid w:val="002B5DB3"/>
    <w:rsid w:val="002B6C04"/>
    <w:rsid w:val="002C3A06"/>
    <w:rsid w:val="002D4CFE"/>
    <w:rsid w:val="002D5CBF"/>
    <w:rsid w:val="002F0F2E"/>
    <w:rsid w:val="002F1B6D"/>
    <w:rsid w:val="002F5605"/>
    <w:rsid w:val="002F6C7E"/>
    <w:rsid w:val="00306685"/>
    <w:rsid w:val="0031501E"/>
    <w:rsid w:val="003161AD"/>
    <w:rsid w:val="003166A7"/>
    <w:rsid w:val="003263BC"/>
    <w:rsid w:val="00326C5C"/>
    <w:rsid w:val="00334414"/>
    <w:rsid w:val="00335AC9"/>
    <w:rsid w:val="00340CDE"/>
    <w:rsid w:val="00343DDE"/>
    <w:rsid w:val="003500F8"/>
    <w:rsid w:val="00350C2D"/>
    <w:rsid w:val="00352E08"/>
    <w:rsid w:val="00362B2C"/>
    <w:rsid w:val="00366A6C"/>
    <w:rsid w:val="00373215"/>
    <w:rsid w:val="0037343C"/>
    <w:rsid w:val="003748C3"/>
    <w:rsid w:val="00376C43"/>
    <w:rsid w:val="00380EEC"/>
    <w:rsid w:val="00383CAA"/>
    <w:rsid w:val="003864E1"/>
    <w:rsid w:val="00386A08"/>
    <w:rsid w:val="00390B78"/>
    <w:rsid w:val="00393C81"/>
    <w:rsid w:val="00394D85"/>
    <w:rsid w:val="00395006"/>
    <w:rsid w:val="00395E71"/>
    <w:rsid w:val="003A3A89"/>
    <w:rsid w:val="003A7C50"/>
    <w:rsid w:val="003B13EE"/>
    <w:rsid w:val="003B6768"/>
    <w:rsid w:val="003C4E6F"/>
    <w:rsid w:val="003E2678"/>
    <w:rsid w:val="003F1C98"/>
    <w:rsid w:val="003F44CD"/>
    <w:rsid w:val="00413A40"/>
    <w:rsid w:val="00414E12"/>
    <w:rsid w:val="004216C3"/>
    <w:rsid w:val="00421706"/>
    <w:rsid w:val="004220C2"/>
    <w:rsid w:val="0043193D"/>
    <w:rsid w:val="00432018"/>
    <w:rsid w:val="00437F75"/>
    <w:rsid w:val="0044301F"/>
    <w:rsid w:val="00446A5F"/>
    <w:rsid w:val="00446BE0"/>
    <w:rsid w:val="00450B1B"/>
    <w:rsid w:val="004575F0"/>
    <w:rsid w:val="004603D0"/>
    <w:rsid w:val="00462748"/>
    <w:rsid w:val="004629A2"/>
    <w:rsid w:val="0047239C"/>
    <w:rsid w:val="00476461"/>
    <w:rsid w:val="0047664D"/>
    <w:rsid w:val="00482102"/>
    <w:rsid w:val="004870F1"/>
    <w:rsid w:val="00487CF6"/>
    <w:rsid w:val="00490FC2"/>
    <w:rsid w:val="004A67E6"/>
    <w:rsid w:val="004C0D6E"/>
    <w:rsid w:val="004C24C2"/>
    <w:rsid w:val="004D2FBE"/>
    <w:rsid w:val="004D5E74"/>
    <w:rsid w:val="004D704A"/>
    <w:rsid w:val="004E718E"/>
    <w:rsid w:val="004F23F1"/>
    <w:rsid w:val="004F2E18"/>
    <w:rsid w:val="00502469"/>
    <w:rsid w:val="00510F09"/>
    <w:rsid w:val="005118F2"/>
    <w:rsid w:val="00520F0F"/>
    <w:rsid w:val="00543B13"/>
    <w:rsid w:val="005459B9"/>
    <w:rsid w:val="00556247"/>
    <w:rsid w:val="005563DC"/>
    <w:rsid w:val="005635F5"/>
    <w:rsid w:val="00566C69"/>
    <w:rsid w:val="00571A2E"/>
    <w:rsid w:val="00575606"/>
    <w:rsid w:val="005820FB"/>
    <w:rsid w:val="00583838"/>
    <w:rsid w:val="00591B5C"/>
    <w:rsid w:val="00592480"/>
    <w:rsid w:val="005928E6"/>
    <w:rsid w:val="0059353B"/>
    <w:rsid w:val="00596338"/>
    <w:rsid w:val="005A7ACB"/>
    <w:rsid w:val="005C329F"/>
    <w:rsid w:val="005D5913"/>
    <w:rsid w:val="005E3334"/>
    <w:rsid w:val="005E39C2"/>
    <w:rsid w:val="005E685A"/>
    <w:rsid w:val="005F37F0"/>
    <w:rsid w:val="005F4ECE"/>
    <w:rsid w:val="005F6BE1"/>
    <w:rsid w:val="0060057D"/>
    <w:rsid w:val="0060076C"/>
    <w:rsid w:val="0060139D"/>
    <w:rsid w:val="0060188D"/>
    <w:rsid w:val="00606390"/>
    <w:rsid w:val="006067BF"/>
    <w:rsid w:val="00611E25"/>
    <w:rsid w:val="00615447"/>
    <w:rsid w:val="00615B6A"/>
    <w:rsid w:val="0062720F"/>
    <w:rsid w:val="00627E72"/>
    <w:rsid w:val="006311BD"/>
    <w:rsid w:val="00631F7E"/>
    <w:rsid w:val="00632D9B"/>
    <w:rsid w:val="0063323F"/>
    <w:rsid w:val="006333B5"/>
    <w:rsid w:val="00634C21"/>
    <w:rsid w:val="00636050"/>
    <w:rsid w:val="0064048A"/>
    <w:rsid w:val="006406CD"/>
    <w:rsid w:val="006412BE"/>
    <w:rsid w:val="00645000"/>
    <w:rsid w:val="00645F7E"/>
    <w:rsid w:val="0065071B"/>
    <w:rsid w:val="00650E48"/>
    <w:rsid w:val="00653330"/>
    <w:rsid w:val="006650B6"/>
    <w:rsid w:val="006661A5"/>
    <w:rsid w:val="00667BF6"/>
    <w:rsid w:val="0067372B"/>
    <w:rsid w:val="006746A7"/>
    <w:rsid w:val="006827DB"/>
    <w:rsid w:val="0068796C"/>
    <w:rsid w:val="00693E77"/>
    <w:rsid w:val="006A0A8B"/>
    <w:rsid w:val="006A12D5"/>
    <w:rsid w:val="006A18E5"/>
    <w:rsid w:val="006A22AA"/>
    <w:rsid w:val="006B3F76"/>
    <w:rsid w:val="006C6747"/>
    <w:rsid w:val="006D062F"/>
    <w:rsid w:val="006D0BC8"/>
    <w:rsid w:val="006D1527"/>
    <w:rsid w:val="006E0DDF"/>
    <w:rsid w:val="006E16BE"/>
    <w:rsid w:val="006E37E0"/>
    <w:rsid w:val="006E3CF1"/>
    <w:rsid w:val="006F4C07"/>
    <w:rsid w:val="006F65B6"/>
    <w:rsid w:val="006F7F50"/>
    <w:rsid w:val="00707365"/>
    <w:rsid w:val="00710E24"/>
    <w:rsid w:val="00712479"/>
    <w:rsid w:val="00714398"/>
    <w:rsid w:val="007155FB"/>
    <w:rsid w:val="007253A8"/>
    <w:rsid w:val="007275D9"/>
    <w:rsid w:val="0073688B"/>
    <w:rsid w:val="00750119"/>
    <w:rsid w:val="00755B6E"/>
    <w:rsid w:val="007637E8"/>
    <w:rsid w:val="00763FE7"/>
    <w:rsid w:val="00764C9D"/>
    <w:rsid w:val="00771676"/>
    <w:rsid w:val="0077347B"/>
    <w:rsid w:val="00773539"/>
    <w:rsid w:val="00773723"/>
    <w:rsid w:val="0077623C"/>
    <w:rsid w:val="00780E05"/>
    <w:rsid w:val="00783D73"/>
    <w:rsid w:val="007849F2"/>
    <w:rsid w:val="00785196"/>
    <w:rsid w:val="0079142D"/>
    <w:rsid w:val="00791455"/>
    <w:rsid w:val="0079481B"/>
    <w:rsid w:val="007955ED"/>
    <w:rsid w:val="00795BB2"/>
    <w:rsid w:val="007975D4"/>
    <w:rsid w:val="007A5E7F"/>
    <w:rsid w:val="007A6C36"/>
    <w:rsid w:val="007B181D"/>
    <w:rsid w:val="007B1A0F"/>
    <w:rsid w:val="007B27D0"/>
    <w:rsid w:val="007B4A0A"/>
    <w:rsid w:val="007B50E3"/>
    <w:rsid w:val="007C1224"/>
    <w:rsid w:val="007D4070"/>
    <w:rsid w:val="007E10B0"/>
    <w:rsid w:val="007E5A02"/>
    <w:rsid w:val="007F0F77"/>
    <w:rsid w:val="00807CD8"/>
    <w:rsid w:val="00821F2A"/>
    <w:rsid w:val="00835242"/>
    <w:rsid w:val="008433EF"/>
    <w:rsid w:val="00844264"/>
    <w:rsid w:val="00852625"/>
    <w:rsid w:val="008549E1"/>
    <w:rsid w:val="008568D7"/>
    <w:rsid w:val="00863512"/>
    <w:rsid w:val="00863B2A"/>
    <w:rsid w:val="00872451"/>
    <w:rsid w:val="008756FE"/>
    <w:rsid w:val="008766C8"/>
    <w:rsid w:val="008907E1"/>
    <w:rsid w:val="008B0A69"/>
    <w:rsid w:val="008B7D67"/>
    <w:rsid w:val="008D03FB"/>
    <w:rsid w:val="008D111B"/>
    <w:rsid w:val="008D14FE"/>
    <w:rsid w:val="008F16F2"/>
    <w:rsid w:val="00901196"/>
    <w:rsid w:val="00920A61"/>
    <w:rsid w:val="00930B56"/>
    <w:rsid w:val="00931474"/>
    <w:rsid w:val="0093205C"/>
    <w:rsid w:val="00940534"/>
    <w:rsid w:val="0094072F"/>
    <w:rsid w:val="00941E9C"/>
    <w:rsid w:val="00976F4D"/>
    <w:rsid w:val="009818AE"/>
    <w:rsid w:val="009871CF"/>
    <w:rsid w:val="00994670"/>
    <w:rsid w:val="00995099"/>
    <w:rsid w:val="009B3788"/>
    <w:rsid w:val="009B4510"/>
    <w:rsid w:val="009B6987"/>
    <w:rsid w:val="009D48F0"/>
    <w:rsid w:val="009E4103"/>
    <w:rsid w:val="009E43DC"/>
    <w:rsid w:val="009F16A9"/>
    <w:rsid w:val="009F4032"/>
    <w:rsid w:val="009F46A0"/>
    <w:rsid w:val="00A01C54"/>
    <w:rsid w:val="00A062B1"/>
    <w:rsid w:val="00A1099A"/>
    <w:rsid w:val="00A113B6"/>
    <w:rsid w:val="00A15D7E"/>
    <w:rsid w:val="00A17193"/>
    <w:rsid w:val="00A23AD5"/>
    <w:rsid w:val="00A27365"/>
    <w:rsid w:val="00A408F3"/>
    <w:rsid w:val="00A41216"/>
    <w:rsid w:val="00A5539B"/>
    <w:rsid w:val="00A56A87"/>
    <w:rsid w:val="00A57090"/>
    <w:rsid w:val="00A6263C"/>
    <w:rsid w:val="00A71DFA"/>
    <w:rsid w:val="00A720D6"/>
    <w:rsid w:val="00A733A8"/>
    <w:rsid w:val="00A744BC"/>
    <w:rsid w:val="00A93B7F"/>
    <w:rsid w:val="00A9517E"/>
    <w:rsid w:val="00AB22F1"/>
    <w:rsid w:val="00AB77B8"/>
    <w:rsid w:val="00AC18FE"/>
    <w:rsid w:val="00AC1BE6"/>
    <w:rsid w:val="00AD5CE8"/>
    <w:rsid w:val="00AD697A"/>
    <w:rsid w:val="00AF1223"/>
    <w:rsid w:val="00AF6DE5"/>
    <w:rsid w:val="00B00178"/>
    <w:rsid w:val="00B01D94"/>
    <w:rsid w:val="00B039E3"/>
    <w:rsid w:val="00B041FE"/>
    <w:rsid w:val="00B04321"/>
    <w:rsid w:val="00B05944"/>
    <w:rsid w:val="00B05CB8"/>
    <w:rsid w:val="00B06727"/>
    <w:rsid w:val="00B10111"/>
    <w:rsid w:val="00B3305F"/>
    <w:rsid w:val="00B468FE"/>
    <w:rsid w:val="00B515CA"/>
    <w:rsid w:val="00B5697A"/>
    <w:rsid w:val="00B62688"/>
    <w:rsid w:val="00B8610E"/>
    <w:rsid w:val="00B86433"/>
    <w:rsid w:val="00B9135E"/>
    <w:rsid w:val="00B9631B"/>
    <w:rsid w:val="00BA17BC"/>
    <w:rsid w:val="00BA43D6"/>
    <w:rsid w:val="00BA6451"/>
    <w:rsid w:val="00BC41FA"/>
    <w:rsid w:val="00BC56C8"/>
    <w:rsid w:val="00BD1154"/>
    <w:rsid w:val="00BD182C"/>
    <w:rsid w:val="00BE10E9"/>
    <w:rsid w:val="00BE43AB"/>
    <w:rsid w:val="00BE6303"/>
    <w:rsid w:val="00BF2560"/>
    <w:rsid w:val="00BF3B94"/>
    <w:rsid w:val="00C037B7"/>
    <w:rsid w:val="00C11720"/>
    <w:rsid w:val="00C1181D"/>
    <w:rsid w:val="00C20151"/>
    <w:rsid w:val="00C25D90"/>
    <w:rsid w:val="00C27C0A"/>
    <w:rsid w:val="00C30CA9"/>
    <w:rsid w:val="00C31555"/>
    <w:rsid w:val="00C3799C"/>
    <w:rsid w:val="00C42BB6"/>
    <w:rsid w:val="00C47045"/>
    <w:rsid w:val="00C50D60"/>
    <w:rsid w:val="00C519A9"/>
    <w:rsid w:val="00C801FE"/>
    <w:rsid w:val="00C82A00"/>
    <w:rsid w:val="00C8691B"/>
    <w:rsid w:val="00C943D6"/>
    <w:rsid w:val="00C94937"/>
    <w:rsid w:val="00C978D0"/>
    <w:rsid w:val="00CA49E3"/>
    <w:rsid w:val="00CB04BD"/>
    <w:rsid w:val="00CB22D1"/>
    <w:rsid w:val="00CB32B7"/>
    <w:rsid w:val="00CC1DA5"/>
    <w:rsid w:val="00CC5073"/>
    <w:rsid w:val="00CD0C02"/>
    <w:rsid w:val="00CD16A0"/>
    <w:rsid w:val="00CD4DD8"/>
    <w:rsid w:val="00CD597A"/>
    <w:rsid w:val="00CD6384"/>
    <w:rsid w:val="00CE4EE9"/>
    <w:rsid w:val="00CF3459"/>
    <w:rsid w:val="00CF35A4"/>
    <w:rsid w:val="00D014F4"/>
    <w:rsid w:val="00D04365"/>
    <w:rsid w:val="00D06485"/>
    <w:rsid w:val="00D20DAD"/>
    <w:rsid w:val="00D237A4"/>
    <w:rsid w:val="00D252A0"/>
    <w:rsid w:val="00D3004F"/>
    <w:rsid w:val="00D31F61"/>
    <w:rsid w:val="00D34303"/>
    <w:rsid w:val="00D35944"/>
    <w:rsid w:val="00D36149"/>
    <w:rsid w:val="00D527C8"/>
    <w:rsid w:val="00D530B5"/>
    <w:rsid w:val="00D53206"/>
    <w:rsid w:val="00D56FDF"/>
    <w:rsid w:val="00D62E73"/>
    <w:rsid w:val="00D6688F"/>
    <w:rsid w:val="00D714AE"/>
    <w:rsid w:val="00D91A78"/>
    <w:rsid w:val="00D953F4"/>
    <w:rsid w:val="00DA1373"/>
    <w:rsid w:val="00DA3EBA"/>
    <w:rsid w:val="00DB42B7"/>
    <w:rsid w:val="00DC05F9"/>
    <w:rsid w:val="00DC45A7"/>
    <w:rsid w:val="00DC4A92"/>
    <w:rsid w:val="00DC5BDC"/>
    <w:rsid w:val="00DC7A60"/>
    <w:rsid w:val="00DD0198"/>
    <w:rsid w:val="00DD6C98"/>
    <w:rsid w:val="00DD71E7"/>
    <w:rsid w:val="00DE3B81"/>
    <w:rsid w:val="00DE7499"/>
    <w:rsid w:val="00DF0852"/>
    <w:rsid w:val="00DF2957"/>
    <w:rsid w:val="00DF4CFB"/>
    <w:rsid w:val="00DF5659"/>
    <w:rsid w:val="00DF7598"/>
    <w:rsid w:val="00DF7813"/>
    <w:rsid w:val="00E026A5"/>
    <w:rsid w:val="00E038F1"/>
    <w:rsid w:val="00E06229"/>
    <w:rsid w:val="00E07D28"/>
    <w:rsid w:val="00E235AD"/>
    <w:rsid w:val="00E32FC6"/>
    <w:rsid w:val="00E46D33"/>
    <w:rsid w:val="00E47F09"/>
    <w:rsid w:val="00E51DA5"/>
    <w:rsid w:val="00E53358"/>
    <w:rsid w:val="00E5406D"/>
    <w:rsid w:val="00E55A56"/>
    <w:rsid w:val="00E56E80"/>
    <w:rsid w:val="00E66F22"/>
    <w:rsid w:val="00E81DF4"/>
    <w:rsid w:val="00E91733"/>
    <w:rsid w:val="00E95CE0"/>
    <w:rsid w:val="00E964DF"/>
    <w:rsid w:val="00E973F7"/>
    <w:rsid w:val="00EA23F8"/>
    <w:rsid w:val="00EA35F3"/>
    <w:rsid w:val="00EB1965"/>
    <w:rsid w:val="00EB4569"/>
    <w:rsid w:val="00EB5581"/>
    <w:rsid w:val="00EC1C8B"/>
    <w:rsid w:val="00EC2D14"/>
    <w:rsid w:val="00EC3116"/>
    <w:rsid w:val="00EC6FEA"/>
    <w:rsid w:val="00EC7824"/>
    <w:rsid w:val="00ED0DD7"/>
    <w:rsid w:val="00ED5559"/>
    <w:rsid w:val="00EE22F1"/>
    <w:rsid w:val="00EE43E4"/>
    <w:rsid w:val="00EE5926"/>
    <w:rsid w:val="00EF13E8"/>
    <w:rsid w:val="00EF301B"/>
    <w:rsid w:val="00EF3A81"/>
    <w:rsid w:val="00EF4D48"/>
    <w:rsid w:val="00EF4F4B"/>
    <w:rsid w:val="00F009C4"/>
    <w:rsid w:val="00F101E3"/>
    <w:rsid w:val="00F10AE4"/>
    <w:rsid w:val="00F161BA"/>
    <w:rsid w:val="00F20C57"/>
    <w:rsid w:val="00F218DF"/>
    <w:rsid w:val="00F22D56"/>
    <w:rsid w:val="00F3022F"/>
    <w:rsid w:val="00F33D53"/>
    <w:rsid w:val="00F33E41"/>
    <w:rsid w:val="00F356D8"/>
    <w:rsid w:val="00F370D1"/>
    <w:rsid w:val="00F3734A"/>
    <w:rsid w:val="00F51813"/>
    <w:rsid w:val="00F52F93"/>
    <w:rsid w:val="00F56859"/>
    <w:rsid w:val="00F570E4"/>
    <w:rsid w:val="00F6006F"/>
    <w:rsid w:val="00F6235C"/>
    <w:rsid w:val="00F6700C"/>
    <w:rsid w:val="00F67F97"/>
    <w:rsid w:val="00F70EAC"/>
    <w:rsid w:val="00F86F16"/>
    <w:rsid w:val="00F9608F"/>
    <w:rsid w:val="00FA6BA3"/>
    <w:rsid w:val="00FB7EB5"/>
    <w:rsid w:val="00FC2EEF"/>
    <w:rsid w:val="00FC5443"/>
    <w:rsid w:val="00FC6C14"/>
    <w:rsid w:val="00FC72F2"/>
    <w:rsid w:val="00FD7529"/>
    <w:rsid w:val="00FE17FB"/>
    <w:rsid w:val="00FE25C3"/>
    <w:rsid w:val="00FE47A8"/>
    <w:rsid w:val="00FF505B"/>
    <w:rsid w:val="01153F05"/>
    <w:rsid w:val="01225118"/>
    <w:rsid w:val="01396E1E"/>
    <w:rsid w:val="013C0BF5"/>
    <w:rsid w:val="0153662A"/>
    <w:rsid w:val="0153724B"/>
    <w:rsid w:val="0160014A"/>
    <w:rsid w:val="019614D5"/>
    <w:rsid w:val="01B77661"/>
    <w:rsid w:val="01D34903"/>
    <w:rsid w:val="01E931BA"/>
    <w:rsid w:val="02380BBA"/>
    <w:rsid w:val="026826BF"/>
    <w:rsid w:val="027108F1"/>
    <w:rsid w:val="0298625C"/>
    <w:rsid w:val="02AB0BFD"/>
    <w:rsid w:val="02C92CCC"/>
    <w:rsid w:val="03013B62"/>
    <w:rsid w:val="03071FAA"/>
    <w:rsid w:val="030A30F3"/>
    <w:rsid w:val="03175810"/>
    <w:rsid w:val="035241C7"/>
    <w:rsid w:val="035D67B1"/>
    <w:rsid w:val="03630182"/>
    <w:rsid w:val="0384262A"/>
    <w:rsid w:val="03897F36"/>
    <w:rsid w:val="0394458C"/>
    <w:rsid w:val="03A461C6"/>
    <w:rsid w:val="03AB3610"/>
    <w:rsid w:val="03DF7332"/>
    <w:rsid w:val="03F512A5"/>
    <w:rsid w:val="03F826C7"/>
    <w:rsid w:val="03FF579B"/>
    <w:rsid w:val="042B2F6B"/>
    <w:rsid w:val="043941AE"/>
    <w:rsid w:val="04412E8D"/>
    <w:rsid w:val="044C0C16"/>
    <w:rsid w:val="04660BBF"/>
    <w:rsid w:val="04925647"/>
    <w:rsid w:val="049525BD"/>
    <w:rsid w:val="04AD1C02"/>
    <w:rsid w:val="04B43FD2"/>
    <w:rsid w:val="04D85924"/>
    <w:rsid w:val="04DA31C3"/>
    <w:rsid w:val="04E7568F"/>
    <w:rsid w:val="04F201AE"/>
    <w:rsid w:val="04FE112F"/>
    <w:rsid w:val="052F7DC3"/>
    <w:rsid w:val="0549531E"/>
    <w:rsid w:val="054D071D"/>
    <w:rsid w:val="05690C2D"/>
    <w:rsid w:val="05744989"/>
    <w:rsid w:val="058D18D7"/>
    <w:rsid w:val="05D72ECF"/>
    <w:rsid w:val="05F03990"/>
    <w:rsid w:val="06090C11"/>
    <w:rsid w:val="060914B4"/>
    <w:rsid w:val="061A50F4"/>
    <w:rsid w:val="062C4F1B"/>
    <w:rsid w:val="063D3F97"/>
    <w:rsid w:val="06442CD5"/>
    <w:rsid w:val="065A158C"/>
    <w:rsid w:val="066A284E"/>
    <w:rsid w:val="06784CD4"/>
    <w:rsid w:val="067C4382"/>
    <w:rsid w:val="067E2C9B"/>
    <w:rsid w:val="06B5734B"/>
    <w:rsid w:val="06D41A46"/>
    <w:rsid w:val="06D849E3"/>
    <w:rsid w:val="06F5FC60"/>
    <w:rsid w:val="071A68E6"/>
    <w:rsid w:val="07272090"/>
    <w:rsid w:val="073424F4"/>
    <w:rsid w:val="07387BBC"/>
    <w:rsid w:val="0751142D"/>
    <w:rsid w:val="077C14DF"/>
    <w:rsid w:val="078F7797"/>
    <w:rsid w:val="07C451F8"/>
    <w:rsid w:val="07C67C77"/>
    <w:rsid w:val="07C82237"/>
    <w:rsid w:val="07CB495E"/>
    <w:rsid w:val="07D12934"/>
    <w:rsid w:val="07D52D7F"/>
    <w:rsid w:val="07E84ACF"/>
    <w:rsid w:val="080212A5"/>
    <w:rsid w:val="0802172A"/>
    <w:rsid w:val="081118ED"/>
    <w:rsid w:val="0842139A"/>
    <w:rsid w:val="084D4E28"/>
    <w:rsid w:val="08592C51"/>
    <w:rsid w:val="085D4452"/>
    <w:rsid w:val="089B4CB0"/>
    <w:rsid w:val="089D3E64"/>
    <w:rsid w:val="08CB729F"/>
    <w:rsid w:val="08D37B58"/>
    <w:rsid w:val="08FE0988"/>
    <w:rsid w:val="09533AA3"/>
    <w:rsid w:val="096505C6"/>
    <w:rsid w:val="0965597C"/>
    <w:rsid w:val="097B03F2"/>
    <w:rsid w:val="09B725D3"/>
    <w:rsid w:val="09BA152C"/>
    <w:rsid w:val="09D6493D"/>
    <w:rsid w:val="09D92450"/>
    <w:rsid w:val="09DE0562"/>
    <w:rsid w:val="09E21B50"/>
    <w:rsid w:val="09E850D9"/>
    <w:rsid w:val="09ED69F7"/>
    <w:rsid w:val="09FC4E8C"/>
    <w:rsid w:val="0A03795E"/>
    <w:rsid w:val="0A2269D0"/>
    <w:rsid w:val="0A314FB2"/>
    <w:rsid w:val="0A367CAC"/>
    <w:rsid w:val="0A485659"/>
    <w:rsid w:val="0A4F46DD"/>
    <w:rsid w:val="0A6E34B3"/>
    <w:rsid w:val="0A856225"/>
    <w:rsid w:val="0A9067C5"/>
    <w:rsid w:val="0A9D1558"/>
    <w:rsid w:val="0AD35E01"/>
    <w:rsid w:val="0AEC48DB"/>
    <w:rsid w:val="0AEE40F9"/>
    <w:rsid w:val="0B024C3B"/>
    <w:rsid w:val="0B034EA8"/>
    <w:rsid w:val="0B211889"/>
    <w:rsid w:val="0B356DC8"/>
    <w:rsid w:val="0B363A2A"/>
    <w:rsid w:val="0B391A24"/>
    <w:rsid w:val="0B4B580A"/>
    <w:rsid w:val="0B592ACE"/>
    <w:rsid w:val="0B5D39D9"/>
    <w:rsid w:val="0B6707E8"/>
    <w:rsid w:val="0B7850EB"/>
    <w:rsid w:val="0B786CA1"/>
    <w:rsid w:val="0B966A5C"/>
    <w:rsid w:val="0B9D6EB6"/>
    <w:rsid w:val="0BA850D0"/>
    <w:rsid w:val="0BC7376A"/>
    <w:rsid w:val="0BE502CE"/>
    <w:rsid w:val="0BE827CE"/>
    <w:rsid w:val="0BEC4F5A"/>
    <w:rsid w:val="0BF114BF"/>
    <w:rsid w:val="0C03726B"/>
    <w:rsid w:val="0C111231"/>
    <w:rsid w:val="0C26096D"/>
    <w:rsid w:val="0C405276"/>
    <w:rsid w:val="0C654EB3"/>
    <w:rsid w:val="0C711828"/>
    <w:rsid w:val="0C72391E"/>
    <w:rsid w:val="0C7D0718"/>
    <w:rsid w:val="0C7F6DEB"/>
    <w:rsid w:val="0C9938E6"/>
    <w:rsid w:val="0CBD0069"/>
    <w:rsid w:val="0CE743A3"/>
    <w:rsid w:val="0CEF17A8"/>
    <w:rsid w:val="0CFF760E"/>
    <w:rsid w:val="0D0051E6"/>
    <w:rsid w:val="0D0E4E0B"/>
    <w:rsid w:val="0D137DFF"/>
    <w:rsid w:val="0D152DB6"/>
    <w:rsid w:val="0D1B0F0A"/>
    <w:rsid w:val="0D23266F"/>
    <w:rsid w:val="0D277101"/>
    <w:rsid w:val="0D3E7E5C"/>
    <w:rsid w:val="0D4C0445"/>
    <w:rsid w:val="0D506C8A"/>
    <w:rsid w:val="0D91057D"/>
    <w:rsid w:val="0DAF1B06"/>
    <w:rsid w:val="0DB23BE7"/>
    <w:rsid w:val="0DB34CE5"/>
    <w:rsid w:val="0E01187C"/>
    <w:rsid w:val="0E065087"/>
    <w:rsid w:val="0E183946"/>
    <w:rsid w:val="0E5A4B63"/>
    <w:rsid w:val="0EAE1879"/>
    <w:rsid w:val="0EAF2CEF"/>
    <w:rsid w:val="0EBC2A0D"/>
    <w:rsid w:val="0ED3251B"/>
    <w:rsid w:val="0EE3573E"/>
    <w:rsid w:val="0EE52C3B"/>
    <w:rsid w:val="0EEB0BB2"/>
    <w:rsid w:val="0F056023"/>
    <w:rsid w:val="0F23206B"/>
    <w:rsid w:val="0F4948AC"/>
    <w:rsid w:val="0F600CAF"/>
    <w:rsid w:val="0F9C1FCA"/>
    <w:rsid w:val="0FFF0A9E"/>
    <w:rsid w:val="101F3C57"/>
    <w:rsid w:val="10357E4D"/>
    <w:rsid w:val="10447F93"/>
    <w:rsid w:val="10513707"/>
    <w:rsid w:val="105559AB"/>
    <w:rsid w:val="10945158"/>
    <w:rsid w:val="10BE2E9B"/>
    <w:rsid w:val="10C63233"/>
    <w:rsid w:val="10CD55FC"/>
    <w:rsid w:val="10CE6205"/>
    <w:rsid w:val="10DA7FEA"/>
    <w:rsid w:val="10E47B6D"/>
    <w:rsid w:val="10EC0872"/>
    <w:rsid w:val="10ED1603"/>
    <w:rsid w:val="11294683"/>
    <w:rsid w:val="112C6FAB"/>
    <w:rsid w:val="114341A1"/>
    <w:rsid w:val="115F3BD2"/>
    <w:rsid w:val="11691059"/>
    <w:rsid w:val="11A264BB"/>
    <w:rsid w:val="11AF152A"/>
    <w:rsid w:val="11B05032"/>
    <w:rsid w:val="11D16187"/>
    <w:rsid w:val="11D956A8"/>
    <w:rsid w:val="12025C50"/>
    <w:rsid w:val="12096D7A"/>
    <w:rsid w:val="1213324A"/>
    <w:rsid w:val="122B4FA2"/>
    <w:rsid w:val="122E3322"/>
    <w:rsid w:val="12331667"/>
    <w:rsid w:val="124E693E"/>
    <w:rsid w:val="12717611"/>
    <w:rsid w:val="12940B5C"/>
    <w:rsid w:val="129F2452"/>
    <w:rsid w:val="12C102C8"/>
    <w:rsid w:val="132101EA"/>
    <w:rsid w:val="13226287"/>
    <w:rsid w:val="13297634"/>
    <w:rsid w:val="13344582"/>
    <w:rsid w:val="13356794"/>
    <w:rsid w:val="13465C73"/>
    <w:rsid w:val="13602D32"/>
    <w:rsid w:val="136C5269"/>
    <w:rsid w:val="1374326D"/>
    <w:rsid w:val="13752281"/>
    <w:rsid w:val="138E105D"/>
    <w:rsid w:val="13A30F8C"/>
    <w:rsid w:val="13A94E34"/>
    <w:rsid w:val="13AC7923"/>
    <w:rsid w:val="13CB7B48"/>
    <w:rsid w:val="13DB2A69"/>
    <w:rsid w:val="13FC0C36"/>
    <w:rsid w:val="141B1F18"/>
    <w:rsid w:val="146D4ED5"/>
    <w:rsid w:val="147321EF"/>
    <w:rsid w:val="14860885"/>
    <w:rsid w:val="14C36CD2"/>
    <w:rsid w:val="14E24F74"/>
    <w:rsid w:val="14F1790A"/>
    <w:rsid w:val="14FF4ABC"/>
    <w:rsid w:val="150742E0"/>
    <w:rsid w:val="150D3948"/>
    <w:rsid w:val="1537362B"/>
    <w:rsid w:val="155F468B"/>
    <w:rsid w:val="15767E12"/>
    <w:rsid w:val="15906076"/>
    <w:rsid w:val="15AE1730"/>
    <w:rsid w:val="160057C5"/>
    <w:rsid w:val="161C05C8"/>
    <w:rsid w:val="1621239E"/>
    <w:rsid w:val="16281DAE"/>
    <w:rsid w:val="163E5D97"/>
    <w:rsid w:val="16410A27"/>
    <w:rsid w:val="16535B8B"/>
    <w:rsid w:val="16655F19"/>
    <w:rsid w:val="16983F21"/>
    <w:rsid w:val="16EF5E69"/>
    <w:rsid w:val="16F76FA7"/>
    <w:rsid w:val="16FA4AE9"/>
    <w:rsid w:val="17005FBC"/>
    <w:rsid w:val="170D1866"/>
    <w:rsid w:val="17682427"/>
    <w:rsid w:val="178518FC"/>
    <w:rsid w:val="1787048B"/>
    <w:rsid w:val="178E645A"/>
    <w:rsid w:val="17A14FE7"/>
    <w:rsid w:val="17E01DC4"/>
    <w:rsid w:val="17E33DD8"/>
    <w:rsid w:val="181D7320"/>
    <w:rsid w:val="18221E73"/>
    <w:rsid w:val="18550122"/>
    <w:rsid w:val="187217EB"/>
    <w:rsid w:val="18766114"/>
    <w:rsid w:val="188B2C78"/>
    <w:rsid w:val="1899077C"/>
    <w:rsid w:val="18E216F1"/>
    <w:rsid w:val="18F338FE"/>
    <w:rsid w:val="191754B5"/>
    <w:rsid w:val="192A17B1"/>
    <w:rsid w:val="192C4AD4"/>
    <w:rsid w:val="192E23A1"/>
    <w:rsid w:val="194F045A"/>
    <w:rsid w:val="19813952"/>
    <w:rsid w:val="199273D9"/>
    <w:rsid w:val="199B6470"/>
    <w:rsid w:val="19B162CC"/>
    <w:rsid w:val="19B667A4"/>
    <w:rsid w:val="19CA28B1"/>
    <w:rsid w:val="1A0261A5"/>
    <w:rsid w:val="1A0758B3"/>
    <w:rsid w:val="1A1D235E"/>
    <w:rsid w:val="1A1E551E"/>
    <w:rsid w:val="1A25208C"/>
    <w:rsid w:val="1A33489E"/>
    <w:rsid w:val="1A593A3B"/>
    <w:rsid w:val="1A5D54D3"/>
    <w:rsid w:val="1A6D7AFA"/>
    <w:rsid w:val="1A736D19"/>
    <w:rsid w:val="1AAB6C47"/>
    <w:rsid w:val="1ADA6573"/>
    <w:rsid w:val="1AEC7F6C"/>
    <w:rsid w:val="1B0810EB"/>
    <w:rsid w:val="1B48140E"/>
    <w:rsid w:val="1B5428FE"/>
    <w:rsid w:val="1B547CCA"/>
    <w:rsid w:val="1B7F4A30"/>
    <w:rsid w:val="1B813443"/>
    <w:rsid w:val="1B974664"/>
    <w:rsid w:val="1BD4480D"/>
    <w:rsid w:val="1BE96ED7"/>
    <w:rsid w:val="1BF81ABF"/>
    <w:rsid w:val="1C037B1E"/>
    <w:rsid w:val="1C2A1A84"/>
    <w:rsid w:val="1C32382C"/>
    <w:rsid w:val="1C364F01"/>
    <w:rsid w:val="1C3D09EB"/>
    <w:rsid w:val="1C433EAF"/>
    <w:rsid w:val="1C733FD3"/>
    <w:rsid w:val="1C7B0E3C"/>
    <w:rsid w:val="1C8B130B"/>
    <w:rsid w:val="1C9B3DF1"/>
    <w:rsid w:val="1CA133D3"/>
    <w:rsid w:val="1CA52637"/>
    <w:rsid w:val="1CC11B24"/>
    <w:rsid w:val="1CE45D99"/>
    <w:rsid w:val="1D036EA2"/>
    <w:rsid w:val="1D085BCA"/>
    <w:rsid w:val="1D0C175E"/>
    <w:rsid w:val="1D266A26"/>
    <w:rsid w:val="1D2C52EE"/>
    <w:rsid w:val="1D3568A7"/>
    <w:rsid w:val="1D3E2CCD"/>
    <w:rsid w:val="1D583653"/>
    <w:rsid w:val="1D9011EB"/>
    <w:rsid w:val="1DA767F2"/>
    <w:rsid w:val="1DAC357D"/>
    <w:rsid w:val="1DB30AFF"/>
    <w:rsid w:val="1DB621BB"/>
    <w:rsid w:val="1DCB7D20"/>
    <w:rsid w:val="1DD70805"/>
    <w:rsid w:val="1DDFDC35"/>
    <w:rsid w:val="1DE11FA8"/>
    <w:rsid w:val="1DEF0B38"/>
    <w:rsid w:val="1E037CC0"/>
    <w:rsid w:val="1E0621D2"/>
    <w:rsid w:val="1E075E82"/>
    <w:rsid w:val="1E170F29"/>
    <w:rsid w:val="1E18372C"/>
    <w:rsid w:val="1E1E4379"/>
    <w:rsid w:val="1E2B0A6A"/>
    <w:rsid w:val="1E300706"/>
    <w:rsid w:val="1E5B4AD1"/>
    <w:rsid w:val="1E5D5287"/>
    <w:rsid w:val="1E6138B8"/>
    <w:rsid w:val="1E6F46CE"/>
    <w:rsid w:val="1E9D02AF"/>
    <w:rsid w:val="1EC032AF"/>
    <w:rsid w:val="1ED615F7"/>
    <w:rsid w:val="1EDA1BE7"/>
    <w:rsid w:val="1EF2328A"/>
    <w:rsid w:val="1F0505EA"/>
    <w:rsid w:val="1F556430"/>
    <w:rsid w:val="1F574470"/>
    <w:rsid w:val="1F6A25EA"/>
    <w:rsid w:val="1F7F95E9"/>
    <w:rsid w:val="1FB2006F"/>
    <w:rsid w:val="1FC30BFD"/>
    <w:rsid w:val="1FE757D2"/>
    <w:rsid w:val="1FEC5E3A"/>
    <w:rsid w:val="1FF73CD4"/>
    <w:rsid w:val="1FF902D9"/>
    <w:rsid w:val="201E1BAA"/>
    <w:rsid w:val="201E74C2"/>
    <w:rsid w:val="20220F65"/>
    <w:rsid w:val="2036277F"/>
    <w:rsid w:val="20630D8C"/>
    <w:rsid w:val="20875CB1"/>
    <w:rsid w:val="20924AF0"/>
    <w:rsid w:val="20926C47"/>
    <w:rsid w:val="20A12660"/>
    <w:rsid w:val="20D61B3B"/>
    <w:rsid w:val="212A73D7"/>
    <w:rsid w:val="213C11DC"/>
    <w:rsid w:val="214142A7"/>
    <w:rsid w:val="217A4C60"/>
    <w:rsid w:val="217E28B7"/>
    <w:rsid w:val="21A74DF8"/>
    <w:rsid w:val="21BD307C"/>
    <w:rsid w:val="21C032D7"/>
    <w:rsid w:val="21CB7D8E"/>
    <w:rsid w:val="21EE46B2"/>
    <w:rsid w:val="221B7E8B"/>
    <w:rsid w:val="22206815"/>
    <w:rsid w:val="22296660"/>
    <w:rsid w:val="2251286F"/>
    <w:rsid w:val="226D64B1"/>
    <w:rsid w:val="226E0EDC"/>
    <w:rsid w:val="226F5612"/>
    <w:rsid w:val="227A0CBD"/>
    <w:rsid w:val="22AC3ED0"/>
    <w:rsid w:val="22BE78DF"/>
    <w:rsid w:val="22CE0420"/>
    <w:rsid w:val="22E57E6B"/>
    <w:rsid w:val="2315488C"/>
    <w:rsid w:val="232E746B"/>
    <w:rsid w:val="23357B35"/>
    <w:rsid w:val="23386ADD"/>
    <w:rsid w:val="233A040E"/>
    <w:rsid w:val="233F7E6C"/>
    <w:rsid w:val="23511F9F"/>
    <w:rsid w:val="23531B69"/>
    <w:rsid w:val="236C792A"/>
    <w:rsid w:val="238C4BCF"/>
    <w:rsid w:val="23913F12"/>
    <w:rsid w:val="239D3455"/>
    <w:rsid w:val="23A128D5"/>
    <w:rsid w:val="23AE126E"/>
    <w:rsid w:val="23BA44B7"/>
    <w:rsid w:val="23E45F8C"/>
    <w:rsid w:val="23EA19A8"/>
    <w:rsid w:val="23EE5A68"/>
    <w:rsid w:val="23FE7044"/>
    <w:rsid w:val="241D2EE9"/>
    <w:rsid w:val="242E1C8E"/>
    <w:rsid w:val="245049A5"/>
    <w:rsid w:val="24601FFD"/>
    <w:rsid w:val="246F34AE"/>
    <w:rsid w:val="247F74FA"/>
    <w:rsid w:val="24935EE4"/>
    <w:rsid w:val="24DB5FBC"/>
    <w:rsid w:val="252B1ECD"/>
    <w:rsid w:val="252D6FC7"/>
    <w:rsid w:val="253D22B2"/>
    <w:rsid w:val="25456555"/>
    <w:rsid w:val="257251DE"/>
    <w:rsid w:val="25CF2F00"/>
    <w:rsid w:val="263C55D8"/>
    <w:rsid w:val="263D332B"/>
    <w:rsid w:val="26497C2D"/>
    <w:rsid w:val="264F66A8"/>
    <w:rsid w:val="26530596"/>
    <w:rsid w:val="265B5E8D"/>
    <w:rsid w:val="268506DF"/>
    <w:rsid w:val="26883AD8"/>
    <w:rsid w:val="268E480D"/>
    <w:rsid w:val="2692176D"/>
    <w:rsid w:val="269427E9"/>
    <w:rsid w:val="269C3827"/>
    <w:rsid w:val="26AE70F8"/>
    <w:rsid w:val="26C872A7"/>
    <w:rsid w:val="26C90AE4"/>
    <w:rsid w:val="26F830B9"/>
    <w:rsid w:val="2703275D"/>
    <w:rsid w:val="271B474C"/>
    <w:rsid w:val="272544BC"/>
    <w:rsid w:val="272D4AEB"/>
    <w:rsid w:val="27453960"/>
    <w:rsid w:val="27895BC0"/>
    <w:rsid w:val="278D08C4"/>
    <w:rsid w:val="27912C60"/>
    <w:rsid w:val="27B47F3F"/>
    <w:rsid w:val="27B57DF4"/>
    <w:rsid w:val="27B7179D"/>
    <w:rsid w:val="27B731ED"/>
    <w:rsid w:val="27D146DB"/>
    <w:rsid w:val="27DA1871"/>
    <w:rsid w:val="27E847D0"/>
    <w:rsid w:val="27FE90B8"/>
    <w:rsid w:val="280A45EF"/>
    <w:rsid w:val="28623BC7"/>
    <w:rsid w:val="28654DB3"/>
    <w:rsid w:val="287F2064"/>
    <w:rsid w:val="287F5F8E"/>
    <w:rsid w:val="28AC1703"/>
    <w:rsid w:val="28B27E59"/>
    <w:rsid w:val="28E64288"/>
    <w:rsid w:val="28FD56EC"/>
    <w:rsid w:val="290A78D9"/>
    <w:rsid w:val="292B5898"/>
    <w:rsid w:val="293932DE"/>
    <w:rsid w:val="2947528E"/>
    <w:rsid w:val="294778BF"/>
    <w:rsid w:val="29512F20"/>
    <w:rsid w:val="297B4C72"/>
    <w:rsid w:val="298220C0"/>
    <w:rsid w:val="29906402"/>
    <w:rsid w:val="29996B12"/>
    <w:rsid w:val="29B729B5"/>
    <w:rsid w:val="2A2474D0"/>
    <w:rsid w:val="2A443FBA"/>
    <w:rsid w:val="2A7C7087"/>
    <w:rsid w:val="2A7E03AE"/>
    <w:rsid w:val="2A8743A9"/>
    <w:rsid w:val="2A8D770F"/>
    <w:rsid w:val="2A992BD6"/>
    <w:rsid w:val="2AA75085"/>
    <w:rsid w:val="2AB00A0E"/>
    <w:rsid w:val="2AB805CB"/>
    <w:rsid w:val="2ABF09AB"/>
    <w:rsid w:val="2AC450FA"/>
    <w:rsid w:val="2AE45252"/>
    <w:rsid w:val="2AEC6758"/>
    <w:rsid w:val="2B5C1D88"/>
    <w:rsid w:val="2B992B18"/>
    <w:rsid w:val="2B995E5C"/>
    <w:rsid w:val="2BAB32EB"/>
    <w:rsid w:val="2BB806B3"/>
    <w:rsid w:val="2BDF21EC"/>
    <w:rsid w:val="2BE664C3"/>
    <w:rsid w:val="2BEF4305"/>
    <w:rsid w:val="2BF47A18"/>
    <w:rsid w:val="2BFC3A49"/>
    <w:rsid w:val="2C0004FA"/>
    <w:rsid w:val="2C20190A"/>
    <w:rsid w:val="2C2B267D"/>
    <w:rsid w:val="2C3C6455"/>
    <w:rsid w:val="2C445173"/>
    <w:rsid w:val="2C637CCD"/>
    <w:rsid w:val="2C664C2A"/>
    <w:rsid w:val="2C7072E8"/>
    <w:rsid w:val="2C8D005C"/>
    <w:rsid w:val="2C934B5B"/>
    <w:rsid w:val="2C9A25B7"/>
    <w:rsid w:val="2CD90168"/>
    <w:rsid w:val="2CEF4A06"/>
    <w:rsid w:val="2CF47017"/>
    <w:rsid w:val="2D3012EA"/>
    <w:rsid w:val="2D6F37A1"/>
    <w:rsid w:val="2DCE0838"/>
    <w:rsid w:val="2DEB0CB9"/>
    <w:rsid w:val="2E1174B1"/>
    <w:rsid w:val="2E173B04"/>
    <w:rsid w:val="2E415BED"/>
    <w:rsid w:val="2E4230A6"/>
    <w:rsid w:val="2E840E29"/>
    <w:rsid w:val="2E9C27D7"/>
    <w:rsid w:val="2EDA3672"/>
    <w:rsid w:val="2EF014AF"/>
    <w:rsid w:val="2F014EED"/>
    <w:rsid w:val="2F0B76E2"/>
    <w:rsid w:val="2F2A5E74"/>
    <w:rsid w:val="2F4C7757"/>
    <w:rsid w:val="2F4F481F"/>
    <w:rsid w:val="2F50265F"/>
    <w:rsid w:val="2F6B6F74"/>
    <w:rsid w:val="2F772127"/>
    <w:rsid w:val="2F8B2C16"/>
    <w:rsid w:val="2FAC6889"/>
    <w:rsid w:val="2FAD1CF8"/>
    <w:rsid w:val="2FB614B6"/>
    <w:rsid w:val="2FC71915"/>
    <w:rsid w:val="2FD86196"/>
    <w:rsid w:val="2FDA49E8"/>
    <w:rsid w:val="2FDD2632"/>
    <w:rsid w:val="3004689B"/>
    <w:rsid w:val="300A47B5"/>
    <w:rsid w:val="30116DD5"/>
    <w:rsid w:val="302F1268"/>
    <w:rsid w:val="303A0248"/>
    <w:rsid w:val="304723AB"/>
    <w:rsid w:val="306E4ABB"/>
    <w:rsid w:val="30733A05"/>
    <w:rsid w:val="30851E07"/>
    <w:rsid w:val="308A71EE"/>
    <w:rsid w:val="3095731D"/>
    <w:rsid w:val="30A14A15"/>
    <w:rsid w:val="30C1544B"/>
    <w:rsid w:val="30E6349C"/>
    <w:rsid w:val="30EF220B"/>
    <w:rsid w:val="30F434E3"/>
    <w:rsid w:val="31086672"/>
    <w:rsid w:val="31472145"/>
    <w:rsid w:val="31550F5F"/>
    <w:rsid w:val="31650976"/>
    <w:rsid w:val="319E66A5"/>
    <w:rsid w:val="31BE4652"/>
    <w:rsid w:val="31BF7E90"/>
    <w:rsid w:val="31C13153"/>
    <w:rsid w:val="31F2704E"/>
    <w:rsid w:val="320D162A"/>
    <w:rsid w:val="320E0AA0"/>
    <w:rsid w:val="32324871"/>
    <w:rsid w:val="327A00A8"/>
    <w:rsid w:val="3284562F"/>
    <w:rsid w:val="3287351B"/>
    <w:rsid w:val="329D671E"/>
    <w:rsid w:val="32AB6DB4"/>
    <w:rsid w:val="32BF42E1"/>
    <w:rsid w:val="32CF0A3E"/>
    <w:rsid w:val="32F133E6"/>
    <w:rsid w:val="32F347CF"/>
    <w:rsid w:val="32FF0E8F"/>
    <w:rsid w:val="33143CBA"/>
    <w:rsid w:val="33386686"/>
    <w:rsid w:val="33532CC5"/>
    <w:rsid w:val="33577F53"/>
    <w:rsid w:val="336C5335"/>
    <w:rsid w:val="33843679"/>
    <w:rsid w:val="3385146D"/>
    <w:rsid w:val="338E5CFE"/>
    <w:rsid w:val="339640EB"/>
    <w:rsid w:val="33A445EA"/>
    <w:rsid w:val="33E12879"/>
    <w:rsid w:val="33F4383D"/>
    <w:rsid w:val="3401138E"/>
    <w:rsid w:val="34012BCE"/>
    <w:rsid w:val="341C4A20"/>
    <w:rsid w:val="341F5B2B"/>
    <w:rsid w:val="343D55EA"/>
    <w:rsid w:val="345B278F"/>
    <w:rsid w:val="348C6C89"/>
    <w:rsid w:val="34A418FC"/>
    <w:rsid w:val="34A67BC6"/>
    <w:rsid w:val="34BE3DF6"/>
    <w:rsid w:val="34E0563C"/>
    <w:rsid w:val="34E844EF"/>
    <w:rsid w:val="34F8431E"/>
    <w:rsid w:val="3504770B"/>
    <w:rsid w:val="351137AF"/>
    <w:rsid w:val="3514348E"/>
    <w:rsid w:val="35214E59"/>
    <w:rsid w:val="35301082"/>
    <w:rsid w:val="3569521C"/>
    <w:rsid w:val="358707E9"/>
    <w:rsid w:val="35960B07"/>
    <w:rsid w:val="35A2127E"/>
    <w:rsid w:val="35D7470E"/>
    <w:rsid w:val="35DD173F"/>
    <w:rsid w:val="35E065B7"/>
    <w:rsid w:val="35E53274"/>
    <w:rsid w:val="360E7B15"/>
    <w:rsid w:val="363B4B62"/>
    <w:rsid w:val="364D621D"/>
    <w:rsid w:val="365E6403"/>
    <w:rsid w:val="365E6B01"/>
    <w:rsid w:val="366A5C6A"/>
    <w:rsid w:val="36D94301"/>
    <w:rsid w:val="36F05867"/>
    <w:rsid w:val="36F728FC"/>
    <w:rsid w:val="370A5888"/>
    <w:rsid w:val="372413FB"/>
    <w:rsid w:val="373F19E8"/>
    <w:rsid w:val="374157BF"/>
    <w:rsid w:val="37633501"/>
    <w:rsid w:val="37861407"/>
    <w:rsid w:val="37F4090B"/>
    <w:rsid w:val="37F7693A"/>
    <w:rsid w:val="380F5563"/>
    <w:rsid w:val="3811134D"/>
    <w:rsid w:val="381852B3"/>
    <w:rsid w:val="381C54BE"/>
    <w:rsid w:val="38407CE9"/>
    <w:rsid w:val="387D3B8A"/>
    <w:rsid w:val="388E097B"/>
    <w:rsid w:val="38960DFF"/>
    <w:rsid w:val="38964E6F"/>
    <w:rsid w:val="38CC097B"/>
    <w:rsid w:val="38EB387F"/>
    <w:rsid w:val="38FC6146"/>
    <w:rsid w:val="39231CE2"/>
    <w:rsid w:val="392C3949"/>
    <w:rsid w:val="395D6E46"/>
    <w:rsid w:val="39980B16"/>
    <w:rsid w:val="39A43819"/>
    <w:rsid w:val="39DF2616"/>
    <w:rsid w:val="39E46E06"/>
    <w:rsid w:val="39E536F6"/>
    <w:rsid w:val="39F07C33"/>
    <w:rsid w:val="39F540DE"/>
    <w:rsid w:val="39FB27E7"/>
    <w:rsid w:val="3A305611"/>
    <w:rsid w:val="3A365066"/>
    <w:rsid w:val="3A434E4D"/>
    <w:rsid w:val="3A4E2C2C"/>
    <w:rsid w:val="3A62558F"/>
    <w:rsid w:val="3A902C06"/>
    <w:rsid w:val="3ADB1989"/>
    <w:rsid w:val="3AFD3EF9"/>
    <w:rsid w:val="3B431B34"/>
    <w:rsid w:val="3B5D0025"/>
    <w:rsid w:val="3B6021E4"/>
    <w:rsid w:val="3B6F6541"/>
    <w:rsid w:val="3B7C0C4F"/>
    <w:rsid w:val="3BA10168"/>
    <w:rsid w:val="3BA23236"/>
    <w:rsid w:val="3BAA778B"/>
    <w:rsid w:val="3BB3698F"/>
    <w:rsid w:val="3BEC2561"/>
    <w:rsid w:val="3BFB6F7C"/>
    <w:rsid w:val="3BFF4790"/>
    <w:rsid w:val="3C0415E5"/>
    <w:rsid w:val="3C101701"/>
    <w:rsid w:val="3C2105FF"/>
    <w:rsid w:val="3C3333CA"/>
    <w:rsid w:val="3C530962"/>
    <w:rsid w:val="3C840C86"/>
    <w:rsid w:val="3CB340F0"/>
    <w:rsid w:val="3CCF1713"/>
    <w:rsid w:val="3D14528A"/>
    <w:rsid w:val="3D1D57AC"/>
    <w:rsid w:val="3D341280"/>
    <w:rsid w:val="3D421E4C"/>
    <w:rsid w:val="3D971DD1"/>
    <w:rsid w:val="3DA44AFD"/>
    <w:rsid w:val="3DCB429E"/>
    <w:rsid w:val="3DD372F4"/>
    <w:rsid w:val="3DD41E7B"/>
    <w:rsid w:val="3DD55AB7"/>
    <w:rsid w:val="3DDA067E"/>
    <w:rsid w:val="3DE7061B"/>
    <w:rsid w:val="3DFC9312"/>
    <w:rsid w:val="3E04493D"/>
    <w:rsid w:val="3E0E7768"/>
    <w:rsid w:val="3E2513F6"/>
    <w:rsid w:val="3E3C4976"/>
    <w:rsid w:val="3E3D59FD"/>
    <w:rsid w:val="3E8E0812"/>
    <w:rsid w:val="3EA52660"/>
    <w:rsid w:val="3EBF4A50"/>
    <w:rsid w:val="3ECEA44F"/>
    <w:rsid w:val="3ED4037A"/>
    <w:rsid w:val="3EEF2C99"/>
    <w:rsid w:val="3EF20397"/>
    <w:rsid w:val="3F2751FC"/>
    <w:rsid w:val="3F314B61"/>
    <w:rsid w:val="3F6B1B71"/>
    <w:rsid w:val="3F7D3F33"/>
    <w:rsid w:val="3F834710"/>
    <w:rsid w:val="3F8C79B5"/>
    <w:rsid w:val="3F9B4224"/>
    <w:rsid w:val="3F9E3B9E"/>
    <w:rsid w:val="3F9F20DB"/>
    <w:rsid w:val="3FCE199F"/>
    <w:rsid w:val="3FE05BB7"/>
    <w:rsid w:val="3FFFA3AB"/>
    <w:rsid w:val="40156291"/>
    <w:rsid w:val="4049296A"/>
    <w:rsid w:val="40780335"/>
    <w:rsid w:val="40B14ED0"/>
    <w:rsid w:val="40BA2D53"/>
    <w:rsid w:val="40EA563E"/>
    <w:rsid w:val="41100EA8"/>
    <w:rsid w:val="416533E6"/>
    <w:rsid w:val="4169240A"/>
    <w:rsid w:val="419B3A41"/>
    <w:rsid w:val="41B96DB7"/>
    <w:rsid w:val="41C05C42"/>
    <w:rsid w:val="42106ED9"/>
    <w:rsid w:val="42364F4E"/>
    <w:rsid w:val="424B3B95"/>
    <w:rsid w:val="425341BA"/>
    <w:rsid w:val="426B45E0"/>
    <w:rsid w:val="427D780B"/>
    <w:rsid w:val="42AC606F"/>
    <w:rsid w:val="42BF3D67"/>
    <w:rsid w:val="42C63377"/>
    <w:rsid w:val="42C83C4C"/>
    <w:rsid w:val="42F164A1"/>
    <w:rsid w:val="43086115"/>
    <w:rsid w:val="432A1125"/>
    <w:rsid w:val="43303919"/>
    <w:rsid w:val="433B03DB"/>
    <w:rsid w:val="434C41B3"/>
    <w:rsid w:val="434D02E3"/>
    <w:rsid w:val="4361616E"/>
    <w:rsid w:val="43992041"/>
    <w:rsid w:val="439B50DD"/>
    <w:rsid w:val="43A81A59"/>
    <w:rsid w:val="43B4783A"/>
    <w:rsid w:val="43B50D15"/>
    <w:rsid w:val="43CC2BFE"/>
    <w:rsid w:val="43F84DE4"/>
    <w:rsid w:val="44042FA7"/>
    <w:rsid w:val="441445A5"/>
    <w:rsid w:val="441A260C"/>
    <w:rsid w:val="4446477B"/>
    <w:rsid w:val="444E494D"/>
    <w:rsid w:val="444E52AF"/>
    <w:rsid w:val="44622730"/>
    <w:rsid w:val="446C665F"/>
    <w:rsid w:val="44B87626"/>
    <w:rsid w:val="44D57DCF"/>
    <w:rsid w:val="44DF7C71"/>
    <w:rsid w:val="44E06412"/>
    <w:rsid w:val="44F2234E"/>
    <w:rsid w:val="45025810"/>
    <w:rsid w:val="45206976"/>
    <w:rsid w:val="45246359"/>
    <w:rsid w:val="45260A34"/>
    <w:rsid w:val="45341380"/>
    <w:rsid w:val="453C1ED1"/>
    <w:rsid w:val="453F0D1A"/>
    <w:rsid w:val="45545C57"/>
    <w:rsid w:val="45676E4C"/>
    <w:rsid w:val="456E202A"/>
    <w:rsid w:val="458037D1"/>
    <w:rsid w:val="458D1E80"/>
    <w:rsid w:val="45A06A82"/>
    <w:rsid w:val="45A9128B"/>
    <w:rsid w:val="45CA7415"/>
    <w:rsid w:val="45CA7AAB"/>
    <w:rsid w:val="45FC4790"/>
    <w:rsid w:val="460338CE"/>
    <w:rsid w:val="46036001"/>
    <w:rsid w:val="462E5B03"/>
    <w:rsid w:val="46324A2C"/>
    <w:rsid w:val="463C1243"/>
    <w:rsid w:val="463D3FE4"/>
    <w:rsid w:val="46483CDD"/>
    <w:rsid w:val="464A5D1B"/>
    <w:rsid w:val="46573B56"/>
    <w:rsid w:val="46752AE1"/>
    <w:rsid w:val="4691727A"/>
    <w:rsid w:val="46CD2548"/>
    <w:rsid w:val="46D42541"/>
    <w:rsid w:val="472E6FC4"/>
    <w:rsid w:val="473C62ED"/>
    <w:rsid w:val="47C0642F"/>
    <w:rsid w:val="47F44AEC"/>
    <w:rsid w:val="47F77CCC"/>
    <w:rsid w:val="47FF03A5"/>
    <w:rsid w:val="480F3CD3"/>
    <w:rsid w:val="481D00C3"/>
    <w:rsid w:val="48241A3E"/>
    <w:rsid w:val="48245B8C"/>
    <w:rsid w:val="48526A6C"/>
    <w:rsid w:val="48667F87"/>
    <w:rsid w:val="4867557E"/>
    <w:rsid w:val="48737A7C"/>
    <w:rsid w:val="489330F4"/>
    <w:rsid w:val="489E2E60"/>
    <w:rsid w:val="489F70AC"/>
    <w:rsid w:val="48A227F4"/>
    <w:rsid w:val="48A6246D"/>
    <w:rsid w:val="48B943C0"/>
    <w:rsid w:val="48BD5AF7"/>
    <w:rsid w:val="48FA1C90"/>
    <w:rsid w:val="48FC1CCA"/>
    <w:rsid w:val="490337A2"/>
    <w:rsid w:val="49217D11"/>
    <w:rsid w:val="492240E8"/>
    <w:rsid w:val="4929643D"/>
    <w:rsid w:val="493555EE"/>
    <w:rsid w:val="49557B3A"/>
    <w:rsid w:val="495D12A2"/>
    <w:rsid w:val="49970F18"/>
    <w:rsid w:val="49B6520C"/>
    <w:rsid w:val="49B736A1"/>
    <w:rsid w:val="49BA2C1E"/>
    <w:rsid w:val="49D0383E"/>
    <w:rsid w:val="49DB1DFB"/>
    <w:rsid w:val="49EE0B93"/>
    <w:rsid w:val="49EE341D"/>
    <w:rsid w:val="49F5756C"/>
    <w:rsid w:val="4A046781"/>
    <w:rsid w:val="4A314F81"/>
    <w:rsid w:val="4A380373"/>
    <w:rsid w:val="4A563BF8"/>
    <w:rsid w:val="4A58343D"/>
    <w:rsid w:val="4AB83128"/>
    <w:rsid w:val="4AB97752"/>
    <w:rsid w:val="4ADF10A1"/>
    <w:rsid w:val="4AEC6BD8"/>
    <w:rsid w:val="4AF17EAC"/>
    <w:rsid w:val="4B025FDA"/>
    <w:rsid w:val="4B172AE6"/>
    <w:rsid w:val="4B4326EA"/>
    <w:rsid w:val="4B7904F6"/>
    <w:rsid w:val="4B8A3264"/>
    <w:rsid w:val="4BAB3A41"/>
    <w:rsid w:val="4BAD5A0B"/>
    <w:rsid w:val="4BC13264"/>
    <w:rsid w:val="4BC71988"/>
    <w:rsid w:val="4C1E510B"/>
    <w:rsid w:val="4C2555A1"/>
    <w:rsid w:val="4C416153"/>
    <w:rsid w:val="4C4B5E97"/>
    <w:rsid w:val="4C7234DE"/>
    <w:rsid w:val="4C7D74B7"/>
    <w:rsid w:val="4CB027CC"/>
    <w:rsid w:val="4CC34ED2"/>
    <w:rsid w:val="4CC47D4E"/>
    <w:rsid w:val="4CC972D5"/>
    <w:rsid w:val="4CDC3EC8"/>
    <w:rsid w:val="4CFF1205"/>
    <w:rsid w:val="4D295043"/>
    <w:rsid w:val="4D2C6E03"/>
    <w:rsid w:val="4D380B13"/>
    <w:rsid w:val="4D731E86"/>
    <w:rsid w:val="4D812E59"/>
    <w:rsid w:val="4DAC1F1A"/>
    <w:rsid w:val="4DBA7F6B"/>
    <w:rsid w:val="4DBF7AE4"/>
    <w:rsid w:val="4DE344BF"/>
    <w:rsid w:val="4DECDA8F"/>
    <w:rsid w:val="4DF12DB6"/>
    <w:rsid w:val="4E07390B"/>
    <w:rsid w:val="4E13496D"/>
    <w:rsid w:val="4E1704B4"/>
    <w:rsid w:val="4E1F014C"/>
    <w:rsid w:val="4E33358C"/>
    <w:rsid w:val="4E351776"/>
    <w:rsid w:val="4E496705"/>
    <w:rsid w:val="4E4C75CE"/>
    <w:rsid w:val="4E601F6E"/>
    <w:rsid w:val="4E6C79AA"/>
    <w:rsid w:val="4E7561CB"/>
    <w:rsid w:val="4E7F0394"/>
    <w:rsid w:val="4E886A29"/>
    <w:rsid w:val="4EAFD95C"/>
    <w:rsid w:val="4EBD2E68"/>
    <w:rsid w:val="4F1E3FC7"/>
    <w:rsid w:val="4F1E452A"/>
    <w:rsid w:val="4F2105B2"/>
    <w:rsid w:val="4F4626F3"/>
    <w:rsid w:val="4F5D2DEA"/>
    <w:rsid w:val="4F7EF726"/>
    <w:rsid w:val="4F871E4C"/>
    <w:rsid w:val="4F914364"/>
    <w:rsid w:val="4F974A61"/>
    <w:rsid w:val="4FBB4230"/>
    <w:rsid w:val="4FD11648"/>
    <w:rsid w:val="4FD156BB"/>
    <w:rsid w:val="4FE21661"/>
    <w:rsid w:val="4FFC0D0F"/>
    <w:rsid w:val="4FFE609B"/>
    <w:rsid w:val="50081462"/>
    <w:rsid w:val="5016206E"/>
    <w:rsid w:val="5022399A"/>
    <w:rsid w:val="50697475"/>
    <w:rsid w:val="50824E85"/>
    <w:rsid w:val="5095796F"/>
    <w:rsid w:val="50B8050C"/>
    <w:rsid w:val="50C0085E"/>
    <w:rsid w:val="50C555A5"/>
    <w:rsid w:val="50D1703F"/>
    <w:rsid w:val="50D75DB8"/>
    <w:rsid w:val="50E21A58"/>
    <w:rsid w:val="51174EA8"/>
    <w:rsid w:val="51332604"/>
    <w:rsid w:val="515941C5"/>
    <w:rsid w:val="517A7459"/>
    <w:rsid w:val="51817E59"/>
    <w:rsid w:val="51FD0EA7"/>
    <w:rsid w:val="51FF2E33"/>
    <w:rsid w:val="52097557"/>
    <w:rsid w:val="5266714D"/>
    <w:rsid w:val="528263A7"/>
    <w:rsid w:val="529D159F"/>
    <w:rsid w:val="52BB0903"/>
    <w:rsid w:val="52BE0C9A"/>
    <w:rsid w:val="52C2063D"/>
    <w:rsid w:val="52C25E7E"/>
    <w:rsid w:val="52CD16C3"/>
    <w:rsid w:val="52DE181D"/>
    <w:rsid w:val="52DF6BF7"/>
    <w:rsid w:val="52F32B63"/>
    <w:rsid w:val="530A7C4E"/>
    <w:rsid w:val="532A55DF"/>
    <w:rsid w:val="53371DBE"/>
    <w:rsid w:val="533902CF"/>
    <w:rsid w:val="534B2BC4"/>
    <w:rsid w:val="53515CA9"/>
    <w:rsid w:val="537540D7"/>
    <w:rsid w:val="538B1850"/>
    <w:rsid w:val="538F6500"/>
    <w:rsid w:val="53A66396"/>
    <w:rsid w:val="53B262B8"/>
    <w:rsid w:val="53BA39EC"/>
    <w:rsid w:val="53CE7410"/>
    <w:rsid w:val="53D3423E"/>
    <w:rsid w:val="53E57090"/>
    <w:rsid w:val="53EE48D7"/>
    <w:rsid w:val="541B0804"/>
    <w:rsid w:val="542419E4"/>
    <w:rsid w:val="54272642"/>
    <w:rsid w:val="54736EB3"/>
    <w:rsid w:val="5488491F"/>
    <w:rsid w:val="548E5CAE"/>
    <w:rsid w:val="54916B4D"/>
    <w:rsid w:val="54E01871"/>
    <w:rsid w:val="54E64418"/>
    <w:rsid w:val="551736F7"/>
    <w:rsid w:val="552C177F"/>
    <w:rsid w:val="554D154C"/>
    <w:rsid w:val="554D44C0"/>
    <w:rsid w:val="555C37F4"/>
    <w:rsid w:val="55607637"/>
    <w:rsid w:val="55674E7D"/>
    <w:rsid w:val="5578700F"/>
    <w:rsid w:val="557E36DA"/>
    <w:rsid w:val="55904202"/>
    <w:rsid w:val="559A7DE2"/>
    <w:rsid w:val="55A81A65"/>
    <w:rsid w:val="55B60DCB"/>
    <w:rsid w:val="55B61B6C"/>
    <w:rsid w:val="55B80E2A"/>
    <w:rsid w:val="55D31737"/>
    <w:rsid w:val="55D55EC7"/>
    <w:rsid w:val="55DE462C"/>
    <w:rsid w:val="55EB51B0"/>
    <w:rsid w:val="55F1630D"/>
    <w:rsid w:val="55F43E28"/>
    <w:rsid w:val="56040242"/>
    <w:rsid w:val="562403BA"/>
    <w:rsid w:val="562660B2"/>
    <w:rsid w:val="565C2CEA"/>
    <w:rsid w:val="565D1DDC"/>
    <w:rsid w:val="56BB146D"/>
    <w:rsid w:val="56C7368A"/>
    <w:rsid w:val="56CC4AC7"/>
    <w:rsid w:val="56DB15D7"/>
    <w:rsid w:val="56E758A3"/>
    <w:rsid w:val="56FD19A2"/>
    <w:rsid w:val="57187387"/>
    <w:rsid w:val="571A39F8"/>
    <w:rsid w:val="571D4F4E"/>
    <w:rsid w:val="572934B6"/>
    <w:rsid w:val="572F1760"/>
    <w:rsid w:val="57563E6C"/>
    <w:rsid w:val="57680A37"/>
    <w:rsid w:val="576A34D3"/>
    <w:rsid w:val="576F4DAE"/>
    <w:rsid w:val="577D4F74"/>
    <w:rsid w:val="5781325E"/>
    <w:rsid w:val="579445C5"/>
    <w:rsid w:val="57AD18D8"/>
    <w:rsid w:val="57B34EF9"/>
    <w:rsid w:val="57D0273F"/>
    <w:rsid w:val="57FE4953"/>
    <w:rsid w:val="58184BBF"/>
    <w:rsid w:val="58234854"/>
    <w:rsid w:val="582A3C42"/>
    <w:rsid w:val="58417876"/>
    <w:rsid w:val="584274DB"/>
    <w:rsid w:val="586F5313"/>
    <w:rsid w:val="587603B6"/>
    <w:rsid w:val="587E3EB4"/>
    <w:rsid w:val="58812ACA"/>
    <w:rsid w:val="58AE172C"/>
    <w:rsid w:val="58C475CC"/>
    <w:rsid w:val="58F5275D"/>
    <w:rsid w:val="591A3FB4"/>
    <w:rsid w:val="59302116"/>
    <w:rsid w:val="593D2338"/>
    <w:rsid w:val="59442BC5"/>
    <w:rsid w:val="594561E5"/>
    <w:rsid w:val="595A618B"/>
    <w:rsid w:val="595D7738"/>
    <w:rsid w:val="5960211E"/>
    <w:rsid w:val="59831E19"/>
    <w:rsid w:val="5985238D"/>
    <w:rsid w:val="59860077"/>
    <w:rsid w:val="598B0DDF"/>
    <w:rsid w:val="59AB461C"/>
    <w:rsid w:val="59C26858"/>
    <w:rsid w:val="59D72571"/>
    <w:rsid w:val="5A7A7400"/>
    <w:rsid w:val="5A8B5169"/>
    <w:rsid w:val="5AAB3112"/>
    <w:rsid w:val="5AB92F88"/>
    <w:rsid w:val="5ABC3F24"/>
    <w:rsid w:val="5AF20CD7"/>
    <w:rsid w:val="5B0F45FD"/>
    <w:rsid w:val="5B213933"/>
    <w:rsid w:val="5B2569A4"/>
    <w:rsid w:val="5B322E28"/>
    <w:rsid w:val="5B445318"/>
    <w:rsid w:val="5B4A3678"/>
    <w:rsid w:val="5B5F7043"/>
    <w:rsid w:val="5B7401C5"/>
    <w:rsid w:val="5B740483"/>
    <w:rsid w:val="5B7A7393"/>
    <w:rsid w:val="5BA92B95"/>
    <w:rsid w:val="5BF054ED"/>
    <w:rsid w:val="5BFB7930"/>
    <w:rsid w:val="5C0E700C"/>
    <w:rsid w:val="5C2C297C"/>
    <w:rsid w:val="5C5515F5"/>
    <w:rsid w:val="5C566B60"/>
    <w:rsid w:val="5C650752"/>
    <w:rsid w:val="5C6B5011"/>
    <w:rsid w:val="5C754957"/>
    <w:rsid w:val="5C7D7A44"/>
    <w:rsid w:val="5CA52A3F"/>
    <w:rsid w:val="5CAC1E25"/>
    <w:rsid w:val="5CBE24EC"/>
    <w:rsid w:val="5CBE29FE"/>
    <w:rsid w:val="5CC0256C"/>
    <w:rsid w:val="5CC1326B"/>
    <w:rsid w:val="5CC444DE"/>
    <w:rsid w:val="5CCB9483"/>
    <w:rsid w:val="5D086F45"/>
    <w:rsid w:val="5D262745"/>
    <w:rsid w:val="5D39119A"/>
    <w:rsid w:val="5D4A37F2"/>
    <w:rsid w:val="5D6B2B5D"/>
    <w:rsid w:val="5D6D1D0F"/>
    <w:rsid w:val="5D8827E5"/>
    <w:rsid w:val="5D897ECB"/>
    <w:rsid w:val="5D8B1D44"/>
    <w:rsid w:val="5DB34350"/>
    <w:rsid w:val="5DC97381"/>
    <w:rsid w:val="5DCE3633"/>
    <w:rsid w:val="5DDA60AD"/>
    <w:rsid w:val="5DDD2DE8"/>
    <w:rsid w:val="5DEF4358"/>
    <w:rsid w:val="5E07362C"/>
    <w:rsid w:val="5E086533"/>
    <w:rsid w:val="5E136F28"/>
    <w:rsid w:val="5E1C7412"/>
    <w:rsid w:val="5E3138F1"/>
    <w:rsid w:val="5E435D5B"/>
    <w:rsid w:val="5E451288"/>
    <w:rsid w:val="5E4E3C17"/>
    <w:rsid w:val="5E756832"/>
    <w:rsid w:val="5E7E55E4"/>
    <w:rsid w:val="5E8B5605"/>
    <w:rsid w:val="5EAD6F63"/>
    <w:rsid w:val="5EB54EC1"/>
    <w:rsid w:val="5ED61A0C"/>
    <w:rsid w:val="5ED92648"/>
    <w:rsid w:val="5EE8143C"/>
    <w:rsid w:val="5F105C3D"/>
    <w:rsid w:val="5F27215C"/>
    <w:rsid w:val="5F2B7C2E"/>
    <w:rsid w:val="5F3863B7"/>
    <w:rsid w:val="5F3A0F01"/>
    <w:rsid w:val="5F684551"/>
    <w:rsid w:val="5F6E263F"/>
    <w:rsid w:val="5F9F0B0D"/>
    <w:rsid w:val="5FA12A70"/>
    <w:rsid w:val="5FAF1470"/>
    <w:rsid w:val="5FB15AF3"/>
    <w:rsid w:val="5FE84363"/>
    <w:rsid w:val="5FEB66AA"/>
    <w:rsid w:val="5FEEE4AA"/>
    <w:rsid w:val="5FF7C62B"/>
    <w:rsid w:val="5FFD7CB5"/>
    <w:rsid w:val="600C251A"/>
    <w:rsid w:val="601410A2"/>
    <w:rsid w:val="60216FED"/>
    <w:rsid w:val="603445E0"/>
    <w:rsid w:val="60580C1C"/>
    <w:rsid w:val="607B68FE"/>
    <w:rsid w:val="60B24C6E"/>
    <w:rsid w:val="60BA27F0"/>
    <w:rsid w:val="60CD40A4"/>
    <w:rsid w:val="60CE39CA"/>
    <w:rsid w:val="60E76E71"/>
    <w:rsid w:val="60F15F42"/>
    <w:rsid w:val="60FB6F44"/>
    <w:rsid w:val="60FC2A8F"/>
    <w:rsid w:val="610C68D8"/>
    <w:rsid w:val="610E493D"/>
    <w:rsid w:val="610F0176"/>
    <w:rsid w:val="613F06A4"/>
    <w:rsid w:val="61456E88"/>
    <w:rsid w:val="617A1A94"/>
    <w:rsid w:val="617B6C56"/>
    <w:rsid w:val="618D7819"/>
    <w:rsid w:val="619E191F"/>
    <w:rsid w:val="61B71524"/>
    <w:rsid w:val="61C01140"/>
    <w:rsid w:val="61CC5522"/>
    <w:rsid w:val="61EE0EFD"/>
    <w:rsid w:val="61F93300"/>
    <w:rsid w:val="620367D8"/>
    <w:rsid w:val="620567D7"/>
    <w:rsid w:val="621326B5"/>
    <w:rsid w:val="622A1D28"/>
    <w:rsid w:val="623A11AE"/>
    <w:rsid w:val="625B3673"/>
    <w:rsid w:val="62625976"/>
    <w:rsid w:val="62780D32"/>
    <w:rsid w:val="62904538"/>
    <w:rsid w:val="62A924C8"/>
    <w:rsid w:val="62B729CA"/>
    <w:rsid w:val="62BE1427"/>
    <w:rsid w:val="62D307DF"/>
    <w:rsid w:val="62D515C9"/>
    <w:rsid w:val="62DE2318"/>
    <w:rsid w:val="62E53885"/>
    <w:rsid w:val="632F68AE"/>
    <w:rsid w:val="633C5DDB"/>
    <w:rsid w:val="63476132"/>
    <w:rsid w:val="636E14C1"/>
    <w:rsid w:val="63826163"/>
    <w:rsid w:val="63BD0636"/>
    <w:rsid w:val="63DD455C"/>
    <w:rsid w:val="63E350D5"/>
    <w:rsid w:val="641336CD"/>
    <w:rsid w:val="64212463"/>
    <w:rsid w:val="64252F3D"/>
    <w:rsid w:val="644E2F2B"/>
    <w:rsid w:val="64525A5F"/>
    <w:rsid w:val="64530C68"/>
    <w:rsid w:val="647D7177"/>
    <w:rsid w:val="64B00387"/>
    <w:rsid w:val="64C03C61"/>
    <w:rsid w:val="64C061E0"/>
    <w:rsid w:val="64C21934"/>
    <w:rsid w:val="64D62737"/>
    <w:rsid w:val="64D91C63"/>
    <w:rsid w:val="65022802"/>
    <w:rsid w:val="650E27CC"/>
    <w:rsid w:val="65632889"/>
    <w:rsid w:val="656D2F25"/>
    <w:rsid w:val="656F1FAD"/>
    <w:rsid w:val="6579425F"/>
    <w:rsid w:val="658B7132"/>
    <w:rsid w:val="659375C8"/>
    <w:rsid w:val="65E709C7"/>
    <w:rsid w:val="65E81FF6"/>
    <w:rsid w:val="65F0031D"/>
    <w:rsid w:val="65F40ACA"/>
    <w:rsid w:val="66263E21"/>
    <w:rsid w:val="66291CDA"/>
    <w:rsid w:val="66550FE7"/>
    <w:rsid w:val="66782602"/>
    <w:rsid w:val="667E77DA"/>
    <w:rsid w:val="66821266"/>
    <w:rsid w:val="66A57113"/>
    <w:rsid w:val="66B4681E"/>
    <w:rsid w:val="66BD7716"/>
    <w:rsid w:val="66D5442D"/>
    <w:rsid w:val="66DD3917"/>
    <w:rsid w:val="671369AF"/>
    <w:rsid w:val="67463615"/>
    <w:rsid w:val="67531430"/>
    <w:rsid w:val="67587ACA"/>
    <w:rsid w:val="675A318C"/>
    <w:rsid w:val="67682BA5"/>
    <w:rsid w:val="678D0947"/>
    <w:rsid w:val="67A52088"/>
    <w:rsid w:val="67B9110F"/>
    <w:rsid w:val="67CF13C1"/>
    <w:rsid w:val="67E72C36"/>
    <w:rsid w:val="67FB6A4B"/>
    <w:rsid w:val="67FC2546"/>
    <w:rsid w:val="67FD328D"/>
    <w:rsid w:val="6810731E"/>
    <w:rsid w:val="681722DB"/>
    <w:rsid w:val="682B1024"/>
    <w:rsid w:val="68332A30"/>
    <w:rsid w:val="6836116D"/>
    <w:rsid w:val="686142B9"/>
    <w:rsid w:val="68683FE8"/>
    <w:rsid w:val="6870672A"/>
    <w:rsid w:val="687F15A9"/>
    <w:rsid w:val="68837285"/>
    <w:rsid w:val="689E4221"/>
    <w:rsid w:val="689E47FB"/>
    <w:rsid w:val="68BD7A66"/>
    <w:rsid w:val="68BF1BBE"/>
    <w:rsid w:val="68E9565C"/>
    <w:rsid w:val="68F03B5A"/>
    <w:rsid w:val="69115024"/>
    <w:rsid w:val="69116C18"/>
    <w:rsid w:val="69195068"/>
    <w:rsid w:val="69225065"/>
    <w:rsid w:val="692B34CD"/>
    <w:rsid w:val="69391CFE"/>
    <w:rsid w:val="69483E60"/>
    <w:rsid w:val="69550B43"/>
    <w:rsid w:val="695B4AB0"/>
    <w:rsid w:val="696A1211"/>
    <w:rsid w:val="69796AD5"/>
    <w:rsid w:val="698C0048"/>
    <w:rsid w:val="69BD3563"/>
    <w:rsid w:val="69D10C39"/>
    <w:rsid w:val="69F055C0"/>
    <w:rsid w:val="69F168EB"/>
    <w:rsid w:val="69FA3F2D"/>
    <w:rsid w:val="6A085CB8"/>
    <w:rsid w:val="6A100518"/>
    <w:rsid w:val="6A25335A"/>
    <w:rsid w:val="6A283172"/>
    <w:rsid w:val="6A9E4A45"/>
    <w:rsid w:val="6AA35373"/>
    <w:rsid w:val="6AB9639C"/>
    <w:rsid w:val="6ACB7A2B"/>
    <w:rsid w:val="6AE26962"/>
    <w:rsid w:val="6B1E5199"/>
    <w:rsid w:val="6B6E43F6"/>
    <w:rsid w:val="6B7369C3"/>
    <w:rsid w:val="6B755E83"/>
    <w:rsid w:val="6BA50CA9"/>
    <w:rsid w:val="6BA7150D"/>
    <w:rsid w:val="6BCC3834"/>
    <w:rsid w:val="6BDF0BF5"/>
    <w:rsid w:val="6BED1B5C"/>
    <w:rsid w:val="6BEEC641"/>
    <w:rsid w:val="6BF12297"/>
    <w:rsid w:val="6C105108"/>
    <w:rsid w:val="6C283577"/>
    <w:rsid w:val="6C302A39"/>
    <w:rsid w:val="6C393D88"/>
    <w:rsid w:val="6C4E6A9A"/>
    <w:rsid w:val="6C5C05C5"/>
    <w:rsid w:val="6C684CFE"/>
    <w:rsid w:val="6C7C0DB6"/>
    <w:rsid w:val="6C7F740F"/>
    <w:rsid w:val="6C812141"/>
    <w:rsid w:val="6CD8139C"/>
    <w:rsid w:val="6D04099B"/>
    <w:rsid w:val="6D1400E5"/>
    <w:rsid w:val="6D371181"/>
    <w:rsid w:val="6D5C1CA3"/>
    <w:rsid w:val="6D601A36"/>
    <w:rsid w:val="6D69379E"/>
    <w:rsid w:val="6D70626A"/>
    <w:rsid w:val="6D7B7355"/>
    <w:rsid w:val="6D8F3F29"/>
    <w:rsid w:val="6D8F61DE"/>
    <w:rsid w:val="6DC23174"/>
    <w:rsid w:val="6DCE1212"/>
    <w:rsid w:val="6DDE15FC"/>
    <w:rsid w:val="6DE27332"/>
    <w:rsid w:val="6DE83CF6"/>
    <w:rsid w:val="6DE85900"/>
    <w:rsid w:val="6DF37AB2"/>
    <w:rsid w:val="6E075428"/>
    <w:rsid w:val="6E1E5CDD"/>
    <w:rsid w:val="6E3372AC"/>
    <w:rsid w:val="6E394DCF"/>
    <w:rsid w:val="6E41661F"/>
    <w:rsid w:val="6E5C3278"/>
    <w:rsid w:val="6E6935BC"/>
    <w:rsid w:val="6E7F1F5C"/>
    <w:rsid w:val="6E8E727C"/>
    <w:rsid w:val="6E9208BE"/>
    <w:rsid w:val="6E921E64"/>
    <w:rsid w:val="6E97AE9B"/>
    <w:rsid w:val="6E9876B0"/>
    <w:rsid w:val="6EED3736"/>
    <w:rsid w:val="6F2256B8"/>
    <w:rsid w:val="6F323192"/>
    <w:rsid w:val="6F673EB2"/>
    <w:rsid w:val="6F6D1B72"/>
    <w:rsid w:val="6F6F5583"/>
    <w:rsid w:val="6FA32AFD"/>
    <w:rsid w:val="6FAA7810"/>
    <w:rsid w:val="6FD30C20"/>
    <w:rsid w:val="6FEED0C9"/>
    <w:rsid w:val="6FEF1353"/>
    <w:rsid w:val="6FF59759"/>
    <w:rsid w:val="6FF87BB7"/>
    <w:rsid w:val="6FFDEB69"/>
    <w:rsid w:val="70253C6E"/>
    <w:rsid w:val="7035510A"/>
    <w:rsid w:val="705A7EB0"/>
    <w:rsid w:val="705B1322"/>
    <w:rsid w:val="70652415"/>
    <w:rsid w:val="707653C6"/>
    <w:rsid w:val="708E7595"/>
    <w:rsid w:val="70DA6AD2"/>
    <w:rsid w:val="70DD3639"/>
    <w:rsid w:val="70E4164A"/>
    <w:rsid w:val="70EC32D0"/>
    <w:rsid w:val="70FB2F48"/>
    <w:rsid w:val="71472C9F"/>
    <w:rsid w:val="7163142D"/>
    <w:rsid w:val="716C5FA4"/>
    <w:rsid w:val="71946041"/>
    <w:rsid w:val="71DE727F"/>
    <w:rsid w:val="71E07963"/>
    <w:rsid w:val="71E76CD1"/>
    <w:rsid w:val="71ED2DEA"/>
    <w:rsid w:val="71FE66D0"/>
    <w:rsid w:val="721814EF"/>
    <w:rsid w:val="72214D94"/>
    <w:rsid w:val="72322358"/>
    <w:rsid w:val="72544387"/>
    <w:rsid w:val="728244DE"/>
    <w:rsid w:val="72BA43E6"/>
    <w:rsid w:val="72C0791E"/>
    <w:rsid w:val="72C20402"/>
    <w:rsid w:val="72C4788B"/>
    <w:rsid w:val="72C549EC"/>
    <w:rsid w:val="72F5714F"/>
    <w:rsid w:val="730B55D5"/>
    <w:rsid w:val="733463A0"/>
    <w:rsid w:val="73524999"/>
    <w:rsid w:val="73B02864"/>
    <w:rsid w:val="73B13A3B"/>
    <w:rsid w:val="73B85441"/>
    <w:rsid w:val="73BC485C"/>
    <w:rsid w:val="73BC7215"/>
    <w:rsid w:val="73E62FB9"/>
    <w:rsid w:val="73FE6E48"/>
    <w:rsid w:val="73FE7350"/>
    <w:rsid w:val="741A3F8D"/>
    <w:rsid w:val="7434612B"/>
    <w:rsid w:val="744602C1"/>
    <w:rsid w:val="744D5139"/>
    <w:rsid w:val="74807FD2"/>
    <w:rsid w:val="748F05C5"/>
    <w:rsid w:val="74B23E69"/>
    <w:rsid w:val="74B94537"/>
    <w:rsid w:val="74D3353D"/>
    <w:rsid w:val="74E514C2"/>
    <w:rsid w:val="74EB3981"/>
    <w:rsid w:val="74FA6D1C"/>
    <w:rsid w:val="753B0BFF"/>
    <w:rsid w:val="753B7E9C"/>
    <w:rsid w:val="755D78B1"/>
    <w:rsid w:val="7576479D"/>
    <w:rsid w:val="758B3BBA"/>
    <w:rsid w:val="75B17F94"/>
    <w:rsid w:val="75BB09E6"/>
    <w:rsid w:val="75C12662"/>
    <w:rsid w:val="75C943D5"/>
    <w:rsid w:val="75DF6D99"/>
    <w:rsid w:val="75E97AE1"/>
    <w:rsid w:val="75EBE3DE"/>
    <w:rsid w:val="75EF52E9"/>
    <w:rsid w:val="75F980E3"/>
    <w:rsid w:val="75FD88C0"/>
    <w:rsid w:val="75FF7269"/>
    <w:rsid w:val="764D2588"/>
    <w:rsid w:val="76531A27"/>
    <w:rsid w:val="76570236"/>
    <w:rsid w:val="765A5B6C"/>
    <w:rsid w:val="765B77F3"/>
    <w:rsid w:val="766252DF"/>
    <w:rsid w:val="767163F4"/>
    <w:rsid w:val="768113BC"/>
    <w:rsid w:val="76924675"/>
    <w:rsid w:val="76D5547E"/>
    <w:rsid w:val="76F217A3"/>
    <w:rsid w:val="76FC20D7"/>
    <w:rsid w:val="7701174E"/>
    <w:rsid w:val="77303642"/>
    <w:rsid w:val="773A5AF5"/>
    <w:rsid w:val="77826A43"/>
    <w:rsid w:val="77BCF1A8"/>
    <w:rsid w:val="77DB12D0"/>
    <w:rsid w:val="77DCF79A"/>
    <w:rsid w:val="77DE4C6F"/>
    <w:rsid w:val="77E108D4"/>
    <w:rsid w:val="77FB386C"/>
    <w:rsid w:val="78000E5A"/>
    <w:rsid w:val="780619A0"/>
    <w:rsid w:val="780E12E6"/>
    <w:rsid w:val="78113BDD"/>
    <w:rsid w:val="781677D7"/>
    <w:rsid w:val="78322CCD"/>
    <w:rsid w:val="784B11FE"/>
    <w:rsid w:val="7860148E"/>
    <w:rsid w:val="7870321C"/>
    <w:rsid w:val="787A6483"/>
    <w:rsid w:val="7883719B"/>
    <w:rsid w:val="788A27E6"/>
    <w:rsid w:val="789A22AB"/>
    <w:rsid w:val="789E5508"/>
    <w:rsid w:val="78A23952"/>
    <w:rsid w:val="78BA32A4"/>
    <w:rsid w:val="78BF1F56"/>
    <w:rsid w:val="78DC3DFA"/>
    <w:rsid w:val="78F30652"/>
    <w:rsid w:val="78FB6A58"/>
    <w:rsid w:val="793629F7"/>
    <w:rsid w:val="79622C5E"/>
    <w:rsid w:val="79667075"/>
    <w:rsid w:val="797706FE"/>
    <w:rsid w:val="79A031BB"/>
    <w:rsid w:val="79B86CA0"/>
    <w:rsid w:val="79C7247E"/>
    <w:rsid w:val="79EE551E"/>
    <w:rsid w:val="7A026459"/>
    <w:rsid w:val="7A035703"/>
    <w:rsid w:val="7A140880"/>
    <w:rsid w:val="7A2F4958"/>
    <w:rsid w:val="7A41719B"/>
    <w:rsid w:val="7A567DF2"/>
    <w:rsid w:val="7A5C314A"/>
    <w:rsid w:val="7A660BBE"/>
    <w:rsid w:val="7A87089D"/>
    <w:rsid w:val="7AAC344D"/>
    <w:rsid w:val="7ABD7408"/>
    <w:rsid w:val="7AC93B5A"/>
    <w:rsid w:val="7ADF493C"/>
    <w:rsid w:val="7AFC361D"/>
    <w:rsid w:val="7B1F3DF0"/>
    <w:rsid w:val="7B26167D"/>
    <w:rsid w:val="7B2672F0"/>
    <w:rsid w:val="7B7C5FC5"/>
    <w:rsid w:val="7B8053BB"/>
    <w:rsid w:val="7B810D8B"/>
    <w:rsid w:val="7BA51B2A"/>
    <w:rsid w:val="7BA645D2"/>
    <w:rsid w:val="7BA81A39"/>
    <w:rsid w:val="7BB67AD7"/>
    <w:rsid w:val="7BDC4B5A"/>
    <w:rsid w:val="7BE86F59"/>
    <w:rsid w:val="7BF7FF8B"/>
    <w:rsid w:val="7C0E1030"/>
    <w:rsid w:val="7C2671EF"/>
    <w:rsid w:val="7C6D7A9E"/>
    <w:rsid w:val="7CA16844"/>
    <w:rsid w:val="7CAF5070"/>
    <w:rsid w:val="7CBC6FAC"/>
    <w:rsid w:val="7CC30D98"/>
    <w:rsid w:val="7CFB90FA"/>
    <w:rsid w:val="7CFC6873"/>
    <w:rsid w:val="7D0D3AB5"/>
    <w:rsid w:val="7D4E3CC2"/>
    <w:rsid w:val="7D5C3F4D"/>
    <w:rsid w:val="7D8F7F4D"/>
    <w:rsid w:val="7D9B26AB"/>
    <w:rsid w:val="7DA21DD8"/>
    <w:rsid w:val="7DB84BC8"/>
    <w:rsid w:val="7DC2253A"/>
    <w:rsid w:val="7DCC1065"/>
    <w:rsid w:val="7DCF863B"/>
    <w:rsid w:val="7DDF3295"/>
    <w:rsid w:val="7DDFB05B"/>
    <w:rsid w:val="7E0F4825"/>
    <w:rsid w:val="7E100035"/>
    <w:rsid w:val="7E1A51D8"/>
    <w:rsid w:val="7E1B5B20"/>
    <w:rsid w:val="7E1D6B73"/>
    <w:rsid w:val="7E456B79"/>
    <w:rsid w:val="7E50776C"/>
    <w:rsid w:val="7E6873EC"/>
    <w:rsid w:val="7E6E71E9"/>
    <w:rsid w:val="7E853DF8"/>
    <w:rsid w:val="7E8B32FC"/>
    <w:rsid w:val="7E9A204F"/>
    <w:rsid w:val="7EAF0B1F"/>
    <w:rsid w:val="7EDB7BBE"/>
    <w:rsid w:val="7EDC33F1"/>
    <w:rsid w:val="7EF5D4AF"/>
    <w:rsid w:val="7F180091"/>
    <w:rsid w:val="7F267330"/>
    <w:rsid w:val="7F361397"/>
    <w:rsid w:val="7F37E4F8"/>
    <w:rsid w:val="7F772281"/>
    <w:rsid w:val="7F782F3D"/>
    <w:rsid w:val="7F8B1571"/>
    <w:rsid w:val="7F921292"/>
    <w:rsid w:val="7F9B70EA"/>
    <w:rsid w:val="7FAE7A80"/>
    <w:rsid w:val="7FAF73DB"/>
    <w:rsid w:val="7FB03F36"/>
    <w:rsid w:val="7FDC07B7"/>
    <w:rsid w:val="7FDC7ACF"/>
    <w:rsid w:val="7FEC43B8"/>
    <w:rsid w:val="7FEE004B"/>
    <w:rsid w:val="7FEF4092"/>
    <w:rsid w:val="7FF9369B"/>
    <w:rsid w:val="7FFE3B8D"/>
    <w:rsid w:val="7FFF822C"/>
    <w:rsid w:val="7FFF8FBE"/>
    <w:rsid w:val="977796EB"/>
    <w:rsid w:val="9AEEBB50"/>
    <w:rsid w:val="9BC70C03"/>
    <w:rsid w:val="9BF7DC91"/>
    <w:rsid w:val="9F2B0635"/>
    <w:rsid w:val="9FAFA0FC"/>
    <w:rsid w:val="9FD7273F"/>
    <w:rsid w:val="9FF357FE"/>
    <w:rsid w:val="A3FFC3B5"/>
    <w:rsid w:val="AF7F0F5D"/>
    <w:rsid w:val="B1FD6177"/>
    <w:rsid w:val="B285506B"/>
    <w:rsid w:val="B30BE2EA"/>
    <w:rsid w:val="B5978140"/>
    <w:rsid w:val="B5FD1568"/>
    <w:rsid w:val="B71EA9C8"/>
    <w:rsid w:val="B743805E"/>
    <w:rsid w:val="B77E6EB8"/>
    <w:rsid w:val="B97F518B"/>
    <w:rsid w:val="BB7C60E2"/>
    <w:rsid w:val="BBDFC08E"/>
    <w:rsid w:val="BBFF6A00"/>
    <w:rsid w:val="BC9F4CC3"/>
    <w:rsid w:val="BDAF4724"/>
    <w:rsid w:val="BFB50BE1"/>
    <w:rsid w:val="BFF78AC1"/>
    <w:rsid w:val="BFFB3376"/>
    <w:rsid w:val="BFFFA3D7"/>
    <w:rsid w:val="C6F707A3"/>
    <w:rsid w:val="C7FDC09E"/>
    <w:rsid w:val="CEDF7581"/>
    <w:rsid w:val="D3D60F75"/>
    <w:rsid w:val="D5E5CFD5"/>
    <w:rsid w:val="D7CA80C2"/>
    <w:rsid w:val="D7E513EE"/>
    <w:rsid w:val="D7FCF09D"/>
    <w:rsid w:val="D9FFF624"/>
    <w:rsid w:val="DB876420"/>
    <w:rsid w:val="DBFF8D21"/>
    <w:rsid w:val="DFAF22B2"/>
    <w:rsid w:val="DFB71878"/>
    <w:rsid w:val="DFDEF83A"/>
    <w:rsid w:val="DFE1BC59"/>
    <w:rsid w:val="DFEEDE8C"/>
    <w:rsid w:val="DFF74633"/>
    <w:rsid w:val="DFFAE5E2"/>
    <w:rsid w:val="DFFB7ECD"/>
    <w:rsid w:val="DFFF6AA2"/>
    <w:rsid w:val="E2FB1D5B"/>
    <w:rsid w:val="E5F591EB"/>
    <w:rsid w:val="E7F5F5CC"/>
    <w:rsid w:val="E7FFBC62"/>
    <w:rsid w:val="EAF69AF9"/>
    <w:rsid w:val="EBBFD31B"/>
    <w:rsid w:val="EBF738BA"/>
    <w:rsid w:val="EEDF382F"/>
    <w:rsid w:val="EEDF96F8"/>
    <w:rsid w:val="EFEF670E"/>
    <w:rsid w:val="EFFC6E13"/>
    <w:rsid w:val="EFFD0A2F"/>
    <w:rsid w:val="EFFDA8B0"/>
    <w:rsid w:val="EFFEE4B0"/>
    <w:rsid w:val="EFFFD4A0"/>
    <w:rsid w:val="F1F5C8C6"/>
    <w:rsid w:val="F36FA9D1"/>
    <w:rsid w:val="F3EDB6CB"/>
    <w:rsid w:val="F3F68C53"/>
    <w:rsid w:val="F3FB25AD"/>
    <w:rsid w:val="F6CE41E3"/>
    <w:rsid w:val="F6DCC78C"/>
    <w:rsid w:val="F752003C"/>
    <w:rsid w:val="F7DFD19E"/>
    <w:rsid w:val="F8BF307B"/>
    <w:rsid w:val="F9FBE395"/>
    <w:rsid w:val="FBB18A15"/>
    <w:rsid w:val="FBBE3593"/>
    <w:rsid w:val="FBC32049"/>
    <w:rsid w:val="FBDE3435"/>
    <w:rsid w:val="FBEAF4EC"/>
    <w:rsid w:val="FBFDD03C"/>
    <w:rsid w:val="FBFE631C"/>
    <w:rsid w:val="FBFF7718"/>
    <w:rsid w:val="FD6D5A08"/>
    <w:rsid w:val="FDBB1279"/>
    <w:rsid w:val="FDFB839D"/>
    <w:rsid w:val="FDFEF328"/>
    <w:rsid w:val="FDFFA73A"/>
    <w:rsid w:val="FEBF0061"/>
    <w:rsid w:val="FEC72C0C"/>
    <w:rsid w:val="FEECD2C9"/>
    <w:rsid w:val="FEFA65AE"/>
    <w:rsid w:val="FEFFA001"/>
    <w:rsid w:val="FF375228"/>
    <w:rsid w:val="FF5E8095"/>
    <w:rsid w:val="FF7EFF9D"/>
    <w:rsid w:val="FF7F84D9"/>
    <w:rsid w:val="FFBE6601"/>
    <w:rsid w:val="FFEE8D59"/>
    <w:rsid w:val="FFF6B5CD"/>
    <w:rsid w:val="FFF7C9AE"/>
    <w:rsid w:val="FFFF1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432"/>
      </w:tab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52"/>
    <w:qFormat/>
    <w:uiPriority w:val="0"/>
    <w:pPr>
      <w:jc w:val="left"/>
    </w:pPr>
  </w:style>
  <w:style w:type="paragraph" w:styleId="7">
    <w:name w:val="Body Text"/>
    <w:basedOn w:val="1"/>
    <w:unhideWhenUsed/>
    <w:qFormat/>
    <w:uiPriority w:val="1"/>
    <w:pPr>
      <w:ind w:left="120"/>
    </w:pPr>
    <w:rPr>
      <w:rFonts w:hint="eastAsia"/>
      <w:sz w:val="30"/>
    </w:rPr>
  </w:style>
  <w:style w:type="paragraph" w:styleId="8">
    <w:name w:val="Body Text Indent"/>
    <w:basedOn w:val="1"/>
    <w:semiHidden/>
    <w:qFormat/>
    <w:uiPriority w:val="0"/>
    <w:pPr>
      <w:ind w:firstLine="600" w:firstLineChars="200"/>
      <w:outlineLvl w:val="0"/>
    </w:pPr>
    <w:rPr>
      <w:rFonts w:ascii="仿宋_GB2312" w:eastAsia="仿宋_GB2312"/>
      <w:sz w:val="30"/>
    </w:rPr>
  </w:style>
  <w:style w:type="paragraph" w:styleId="9">
    <w:name w:val="toc 3"/>
    <w:basedOn w:val="1"/>
    <w:next w:val="1"/>
    <w:qFormat/>
    <w:uiPriority w:val="39"/>
    <w:pPr>
      <w:ind w:left="840" w:leftChars="400"/>
    </w:pPr>
  </w:style>
  <w:style w:type="paragraph" w:styleId="10">
    <w:name w:val="Balloon Text"/>
    <w:basedOn w:val="1"/>
    <w:link w:val="26"/>
    <w:qFormat/>
    <w:uiPriority w:val="0"/>
    <w:rPr>
      <w:sz w:val="18"/>
      <w:szCs w:val="18"/>
    </w:rPr>
  </w:style>
  <w:style w:type="paragraph" w:styleId="11">
    <w:name w:val="footer"/>
    <w:basedOn w:val="1"/>
    <w:link w:val="28"/>
    <w:qFormat/>
    <w:uiPriority w:val="99"/>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footnote text"/>
    <w:basedOn w:val="1"/>
    <w:qFormat/>
    <w:uiPriority w:val="0"/>
    <w:pPr>
      <w:snapToGrid w:val="0"/>
      <w:jc w:val="left"/>
    </w:pPr>
    <w:rPr>
      <w:sz w:val="18"/>
    </w:rPr>
  </w:style>
  <w:style w:type="paragraph" w:styleId="15">
    <w:name w:val="toc 2"/>
    <w:basedOn w:val="1"/>
    <w:next w:val="1"/>
    <w:qFormat/>
    <w:uiPriority w:val="39"/>
    <w:pPr>
      <w:ind w:left="420" w:leftChars="200"/>
    </w:pPr>
  </w:style>
  <w:style w:type="paragraph" w:styleId="16">
    <w:name w:val="Normal (Web)"/>
    <w:basedOn w:val="1"/>
    <w:qFormat/>
    <w:uiPriority w:val="0"/>
    <w:pPr>
      <w:spacing w:beforeAutospacing="1" w:afterAutospacing="1"/>
      <w:jc w:val="left"/>
    </w:pPr>
    <w:rPr>
      <w:rFonts w:cs="Times New Roman"/>
      <w:kern w:val="0"/>
      <w:sz w:val="24"/>
    </w:rPr>
  </w:style>
  <w:style w:type="paragraph" w:styleId="17">
    <w:name w:val="annotation subject"/>
    <w:basedOn w:val="6"/>
    <w:next w:val="6"/>
    <w:link w:val="53"/>
    <w:qFormat/>
    <w:uiPriority w:val="0"/>
    <w:rPr>
      <w:rFonts w:ascii="Times New Roman" w:hAnsi="Times New Roman" w:eastAsia="宋体" w:cs="Times New Roman"/>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styleId="24">
    <w:name w:val="annotation reference"/>
    <w:basedOn w:val="20"/>
    <w:qFormat/>
    <w:uiPriority w:val="0"/>
    <w:rPr>
      <w:sz w:val="21"/>
      <w:szCs w:val="21"/>
    </w:rPr>
  </w:style>
  <w:style w:type="character" w:styleId="25">
    <w:name w:val="footnote reference"/>
    <w:basedOn w:val="20"/>
    <w:qFormat/>
    <w:uiPriority w:val="0"/>
    <w:rPr>
      <w:vertAlign w:val="superscript"/>
    </w:rPr>
  </w:style>
  <w:style w:type="character" w:customStyle="1" w:styleId="26">
    <w:name w:val="批注框文本 字符"/>
    <w:basedOn w:val="20"/>
    <w:link w:val="10"/>
    <w:qFormat/>
    <w:uiPriority w:val="0"/>
    <w:rPr>
      <w:rFonts w:asciiTheme="minorHAnsi" w:hAnsiTheme="minorHAnsi" w:eastAsiaTheme="minorEastAsia" w:cstheme="minorBidi"/>
      <w:kern w:val="2"/>
      <w:sz w:val="18"/>
      <w:szCs w:val="18"/>
    </w:rPr>
  </w:style>
  <w:style w:type="character" w:customStyle="1" w:styleId="27">
    <w:name w:val="页眉 字符"/>
    <w:basedOn w:val="20"/>
    <w:link w:val="12"/>
    <w:qFormat/>
    <w:uiPriority w:val="0"/>
    <w:rPr>
      <w:rFonts w:asciiTheme="minorHAnsi" w:hAnsiTheme="minorHAnsi" w:eastAsiaTheme="minorEastAsia" w:cstheme="minorBidi"/>
      <w:kern w:val="2"/>
      <w:sz w:val="18"/>
      <w:szCs w:val="18"/>
    </w:rPr>
  </w:style>
  <w:style w:type="character" w:customStyle="1" w:styleId="28">
    <w:name w:val="页脚 字符"/>
    <w:basedOn w:val="20"/>
    <w:link w:val="11"/>
    <w:qFormat/>
    <w:uiPriority w:val="99"/>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heme="minorHAnsi" w:hAnsiTheme="minorHAnsi" w:eastAsiaTheme="minorEastAsia" w:cstheme="minorBidi"/>
      <w:lang w:val="en-US" w:eastAsia="zh-CN" w:bidi="ar-SA"/>
    </w:rPr>
  </w:style>
  <w:style w:type="paragraph" w:customStyle="1" w:styleId="3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2">
    <w:name w:val="列表段落1"/>
    <w:basedOn w:val="1"/>
    <w:qFormat/>
    <w:uiPriority w:val="99"/>
    <w:pPr>
      <w:ind w:firstLine="420" w:firstLineChars="200"/>
    </w:pPr>
  </w:style>
  <w:style w:type="paragraph" w:customStyle="1" w:styleId="3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4">
    <w:name w:val="列表段落2"/>
    <w:basedOn w:val="1"/>
    <w:qFormat/>
    <w:uiPriority w:val="99"/>
    <w:pPr>
      <w:ind w:firstLine="420" w:firstLineChars="200"/>
    </w:pPr>
  </w:style>
  <w:style w:type="character" w:customStyle="1" w:styleId="35">
    <w:name w:val="font21"/>
    <w:basedOn w:val="20"/>
    <w:qFormat/>
    <w:uiPriority w:val="0"/>
    <w:rPr>
      <w:rFonts w:hint="eastAsia" w:ascii="仿宋" w:hAnsi="仿宋" w:eastAsia="仿宋" w:cs="仿宋"/>
      <w:color w:val="000000"/>
      <w:sz w:val="24"/>
      <w:szCs w:val="24"/>
      <w:u w:val="single"/>
    </w:rPr>
  </w:style>
  <w:style w:type="character" w:customStyle="1" w:styleId="36">
    <w:name w:val="font61"/>
    <w:basedOn w:val="20"/>
    <w:qFormat/>
    <w:uiPriority w:val="0"/>
    <w:rPr>
      <w:rFonts w:hint="eastAsia" w:ascii="仿宋" w:hAnsi="仿宋" w:eastAsia="仿宋" w:cs="仿宋"/>
      <w:color w:val="000000"/>
      <w:sz w:val="24"/>
      <w:szCs w:val="24"/>
      <w:u w:val="single"/>
    </w:rPr>
  </w:style>
  <w:style w:type="character" w:customStyle="1" w:styleId="37">
    <w:name w:val="font51"/>
    <w:basedOn w:val="20"/>
    <w:qFormat/>
    <w:uiPriority w:val="0"/>
    <w:rPr>
      <w:rFonts w:hint="eastAsia" w:ascii="仿宋" w:hAnsi="仿宋" w:eastAsia="仿宋" w:cs="仿宋"/>
      <w:color w:val="000000"/>
      <w:sz w:val="24"/>
      <w:szCs w:val="24"/>
      <w:u w:val="none"/>
    </w:rPr>
  </w:style>
  <w:style w:type="character" w:customStyle="1" w:styleId="38">
    <w:name w:val="font71"/>
    <w:basedOn w:val="20"/>
    <w:qFormat/>
    <w:uiPriority w:val="0"/>
    <w:rPr>
      <w:rFonts w:hint="eastAsia" w:ascii="仿宋" w:hAnsi="仿宋" w:eastAsia="仿宋" w:cs="仿宋"/>
      <w:color w:val="FF0000"/>
      <w:sz w:val="24"/>
      <w:szCs w:val="24"/>
      <w:u w:val="none"/>
    </w:rPr>
  </w:style>
  <w:style w:type="character" w:customStyle="1" w:styleId="39">
    <w:name w:val="font41"/>
    <w:basedOn w:val="20"/>
    <w:qFormat/>
    <w:uiPriority w:val="0"/>
    <w:rPr>
      <w:rFonts w:hint="eastAsia" w:ascii="仿宋" w:hAnsi="仿宋" w:eastAsia="仿宋" w:cs="仿宋"/>
      <w:color w:val="000000"/>
      <w:sz w:val="28"/>
      <w:szCs w:val="28"/>
      <w:u w:val="none"/>
    </w:rPr>
  </w:style>
  <w:style w:type="paragraph" w:customStyle="1" w:styleId="40">
    <w:name w:val="列出段落1"/>
    <w:basedOn w:val="1"/>
    <w:qFormat/>
    <w:uiPriority w:val="0"/>
    <w:pPr>
      <w:spacing w:line="560" w:lineRule="exact"/>
      <w:ind w:firstLine="420" w:firstLineChars="200"/>
    </w:pPr>
    <w:rPr>
      <w:rFonts w:ascii="等线" w:hAnsi="等线" w:eastAsia="仿宋" w:cs="Times New Roman"/>
      <w:sz w:val="32"/>
      <w:szCs w:val="32"/>
    </w:rPr>
  </w:style>
  <w:style w:type="paragraph" w:customStyle="1" w:styleId="41">
    <w:name w:val="列出段落2"/>
    <w:basedOn w:val="1"/>
    <w:qFormat/>
    <w:uiPriority w:val="0"/>
    <w:pPr>
      <w:ind w:firstLine="420" w:firstLineChars="200"/>
    </w:pPr>
  </w:style>
  <w:style w:type="character" w:customStyle="1" w:styleId="42">
    <w:name w:val="font31"/>
    <w:basedOn w:val="20"/>
    <w:qFormat/>
    <w:uiPriority w:val="0"/>
    <w:rPr>
      <w:rFonts w:hint="eastAsia" w:ascii="宋体" w:hAnsi="宋体" w:eastAsia="宋体" w:cs="宋体"/>
      <w:color w:val="000000"/>
      <w:sz w:val="48"/>
      <w:szCs w:val="48"/>
      <w:u w:val="none"/>
    </w:rPr>
  </w:style>
  <w:style w:type="character" w:customStyle="1" w:styleId="43">
    <w:name w:val="font11"/>
    <w:basedOn w:val="20"/>
    <w:qFormat/>
    <w:uiPriority w:val="0"/>
    <w:rPr>
      <w:rFonts w:hint="eastAsia" w:ascii="宋体" w:hAnsi="宋体" w:eastAsia="宋体" w:cs="宋体"/>
      <w:color w:val="000000"/>
      <w:sz w:val="36"/>
      <w:szCs w:val="36"/>
      <w:u w:val="none"/>
    </w:rPr>
  </w:style>
  <w:style w:type="character" w:customStyle="1" w:styleId="44">
    <w:name w:val="font01"/>
    <w:basedOn w:val="20"/>
    <w:qFormat/>
    <w:uiPriority w:val="0"/>
    <w:rPr>
      <w:rFonts w:hint="eastAsia" w:ascii="宋体" w:hAnsi="宋体" w:eastAsia="宋体" w:cs="宋体"/>
      <w:color w:val="000000"/>
      <w:sz w:val="18"/>
      <w:szCs w:val="18"/>
      <w:u w:val="none"/>
    </w:rPr>
  </w:style>
  <w:style w:type="paragraph" w:customStyle="1" w:styleId="45">
    <w:name w:val="Table Paragraph"/>
    <w:basedOn w:val="1"/>
    <w:qFormat/>
    <w:uiPriority w:val="1"/>
  </w:style>
  <w:style w:type="paragraph" w:customStyle="1" w:styleId="46">
    <w:name w:val="p0"/>
    <w:basedOn w:val="1"/>
    <w:qFormat/>
    <w:uiPriority w:val="0"/>
    <w:pPr>
      <w:widowControl/>
    </w:pPr>
    <w:rPr>
      <w:kern w:val="0"/>
      <w:szCs w:val="21"/>
    </w:rPr>
  </w:style>
  <w:style w:type="paragraph" w:customStyle="1" w:styleId="47">
    <w:name w:val="样式 标题 4标题 4 Char + 宋体 五号"/>
    <w:basedOn w:val="5"/>
    <w:qFormat/>
    <w:uiPriority w:val="0"/>
    <w:pPr>
      <w:tabs>
        <w:tab w:val="clear" w:pos="432"/>
      </w:tabs>
      <w:spacing w:before="0" w:after="0" w:line="360" w:lineRule="auto"/>
    </w:pPr>
    <w:rPr>
      <w:rFonts w:ascii="宋体" w:hAnsi="宋体" w:eastAsia="宋体"/>
      <w:sz w:val="21"/>
    </w:rPr>
  </w:style>
  <w:style w:type="character" w:customStyle="1" w:styleId="48">
    <w:name w:val="sect2title"/>
    <w:basedOn w:val="20"/>
    <w:qFormat/>
    <w:uiPriority w:val="0"/>
  </w:style>
  <w:style w:type="character" w:customStyle="1" w:styleId="49">
    <w:name w:val="sect2content"/>
    <w:basedOn w:val="20"/>
    <w:qFormat/>
    <w:uiPriority w:val="0"/>
  </w:style>
  <w:style w:type="paragraph" w:customStyle="1" w:styleId="50">
    <w:name w:val="文档正文"/>
    <w:basedOn w:val="1"/>
    <w:qFormat/>
    <w:uiPriority w:val="0"/>
    <w:rPr>
      <w:rFonts w:ascii="宋体"/>
      <w:szCs w:val="20"/>
    </w:rPr>
  </w:style>
  <w:style w:type="paragraph" w:customStyle="1" w:styleId="51">
    <w:name w:val="修订1"/>
    <w:hidden/>
    <w:qFormat/>
    <w:uiPriority w:val="99"/>
    <w:rPr>
      <w:rFonts w:asciiTheme="minorHAnsi" w:hAnsiTheme="minorHAnsi" w:eastAsiaTheme="minorEastAsia" w:cstheme="minorBidi"/>
      <w:kern w:val="2"/>
      <w:sz w:val="21"/>
      <w:szCs w:val="24"/>
      <w:lang w:val="en-US" w:eastAsia="zh-CN" w:bidi="ar-SA"/>
    </w:rPr>
  </w:style>
  <w:style w:type="character" w:customStyle="1" w:styleId="52">
    <w:name w:val="批注文字 字符"/>
    <w:basedOn w:val="20"/>
    <w:link w:val="6"/>
    <w:qFormat/>
    <w:uiPriority w:val="0"/>
    <w:rPr>
      <w:rFonts w:asciiTheme="minorHAnsi" w:hAnsiTheme="minorHAnsi" w:eastAsiaTheme="minorEastAsia" w:cstheme="minorBidi"/>
      <w:kern w:val="2"/>
      <w:sz w:val="21"/>
      <w:szCs w:val="24"/>
    </w:rPr>
  </w:style>
  <w:style w:type="character" w:customStyle="1" w:styleId="53">
    <w:name w:val="批注主题 字符"/>
    <w:basedOn w:val="52"/>
    <w:link w:val="17"/>
    <w:qFormat/>
    <w:uiPriority w:val="0"/>
    <w:rPr>
      <w:rFonts w:asciiTheme="minorHAnsi" w:hAnsiTheme="minorHAnsi" w:eastAsiaTheme="minorEastAsia" w:cstheme="minorBidi"/>
      <w:b/>
      <w:bCs/>
      <w:kern w:val="2"/>
      <w:sz w:val="21"/>
      <w:szCs w:val="24"/>
    </w:rPr>
  </w:style>
  <w:style w:type="paragraph" w:customStyle="1" w:styleId="54">
    <w:name w:val="faguicon_p"/>
    <w:basedOn w:val="1"/>
    <w:qFormat/>
    <w:uiPriority w:val="0"/>
    <w:pPr>
      <w:widowControl/>
      <w:ind w:firstLine="480"/>
      <w:jc w:val="left"/>
    </w:pPr>
    <w:rPr>
      <w:rFonts w:ascii="微软雅黑" w:hAnsi="微软雅黑" w:eastAsia="微软雅黑" w:cs="微软雅黑"/>
      <w:kern w:val="0"/>
      <w:sz w:val="24"/>
    </w:rPr>
  </w:style>
  <w:style w:type="character" w:customStyle="1" w:styleId="55">
    <w:name w:val="any"/>
    <w:basedOn w:val="20"/>
    <w:qFormat/>
    <w:uiPriority w:val="0"/>
  </w:style>
  <w:style w:type="character" w:customStyle="1" w:styleId="56">
    <w:name w:val="16"/>
    <w:basedOn w:val="20"/>
    <w:qFormat/>
    <w:uiPriority w:val="0"/>
    <w:rPr>
      <w:rFonts w:hint="eastAsia" w:ascii="宋体" w:hAnsi="宋体" w:eastAsia="宋体"/>
      <w:b/>
      <w:bCs/>
      <w:smallCaps/>
      <w:color w:val="000000"/>
      <w:sz w:val="18"/>
      <w:szCs w:val="18"/>
    </w:rPr>
  </w:style>
  <w:style w:type="character" w:customStyle="1" w:styleId="57">
    <w:name w:val="highlight"/>
    <w:basedOn w:val="20"/>
    <w:qFormat/>
    <w:uiPriority w:val="0"/>
  </w:style>
  <w:style w:type="paragraph" w:styleId="58">
    <w:name w:val="List Paragraph"/>
    <w:basedOn w:val="1"/>
    <w:unhideWhenUsed/>
    <w:qFormat/>
    <w:uiPriority w:val="99"/>
    <w:pPr>
      <w:ind w:firstLine="420" w:firstLineChars="200"/>
    </w:pPr>
    <w:rPr>
      <w:rFonts w:ascii="Times New Roman" w:hAnsi="Times New Roman" w:eastAsia="宋体" w:cs="Times New Roman"/>
    </w:rPr>
  </w:style>
  <w:style w:type="paragraph" w:customStyle="1" w:styleId="59">
    <w:name w:val="western"/>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0">
    <w:name w:val="修订11"/>
    <w:hidden/>
    <w:unhideWhenUsed/>
    <w:qFormat/>
    <w:uiPriority w:val="99"/>
    <w:rPr>
      <w:rFonts w:ascii="Times New Roman" w:hAnsi="Times New Roman" w:eastAsia="宋体" w:cs="Times New Roman"/>
      <w:kern w:val="2"/>
      <w:sz w:val="21"/>
      <w:szCs w:val="24"/>
      <w:lang w:val="en-US" w:eastAsia="zh-CN" w:bidi="ar-SA"/>
    </w:rPr>
  </w:style>
  <w:style w:type="paragraph" w:customStyle="1" w:styleId="6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2">
    <w:name w:val="修订2"/>
    <w:hidden/>
    <w:semiHidden/>
    <w:qFormat/>
    <w:uiPriority w:val="99"/>
    <w:rPr>
      <w:rFonts w:ascii="Calibri" w:hAnsi="Calibri" w:eastAsia="宋体" w:cs="Times New Roman"/>
      <w:kern w:val="2"/>
      <w:sz w:val="21"/>
      <w:szCs w:val="24"/>
      <w:lang w:val="en-US" w:eastAsia="zh-CN" w:bidi="ar-SA"/>
    </w:rPr>
  </w:style>
  <w:style w:type="paragraph" w:customStyle="1" w:styleId="63">
    <w:name w:val="修订3"/>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277</Pages>
  <Words>109274</Words>
  <Characters>122415</Characters>
  <Lines>1020</Lines>
  <Paragraphs>287</Paragraphs>
  <TotalTime>66</TotalTime>
  <ScaleCrop>false</ScaleCrop>
  <LinksUpToDate>false</LinksUpToDate>
  <CharactersWithSpaces>125444</CharactersWithSpaces>
  <Application>WPS Office_11.1.0.8822_F1E327BC-269C-435d-A152-05C5408002CA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2022-04-03T03:25:00Z</dcterms:created>
  <dc:creator>唐磊SHCPE</dc:creator>
  <cp:lastModifiedBy>lenovo</cp:lastModifiedBy>
  <cp:lastPrinted>2022-09-18T10:04:00Z</cp:lastPrinted>
  <dcterms:modified xsi:type="dcterms:W3CDTF">2022-09-16T10:00:19Z</dcterms:modified>
  <dc:title>上海票据交易所业务指南</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y fmtid="{D5CDD505-2E9C-101B-9397-08002B2CF9AE}" pid="3" name="ICV">
    <vt:lpwstr>80A290CD3E65416CB26136665AD4047C</vt:lpwstr>
  </property>
</Properties>
</file>